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68813" w14:textId="77777777" w:rsidR="00610D7F" w:rsidRDefault="00610D7F" w:rsidP="005A00D4">
      <w:pPr>
        <w:jc w:val="center"/>
      </w:pPr>
      <w:r>
        <w:t xml:space="preserve">The </w:t>
      </w:r>
      <w:r w:rsidRPr="009C60E6">
        <w:rPr>
          <w:i/>
        </w:rPr>
        <w:t>Schmidt</w:t>
      </w:r>
      <w:r>
        <w:t xml:space="preserve"> Case and </w:t>
      </w:r>
      <w:r w:rsidRPr="0008133B">
        <w:rPr>
          <w:i/>
        </w:rPr>
        <w:t>Charter</w:t>
      </w:r>
      <w:r>
        <w:t xml:space="preserve"> </w:t>
      </w:r>
      <w:r w:rsidR="009C60E6">
        <w:t>Risk Analysis</w:t>
      </w:r>
      <w:r>
        <w:t>: A Commentary</w:t>
      </w:r>
    </w:p>
    <w:p w14:paraId="6C7EE23E" w14:textId="77777777" w:rsidR="00FF7C2F" w:rsidRDefault="00D602D4" w:rsidP="00D602D4">
      <w:pPr>
        <w:jc w:val="center"/>
      </w:pPr>
      <w:r>
        <w:t xml:space="preserve">By </w:t>
      </w:r>
      <w:r w:rsidR="00FF7B1D">
        <w:t>Heather MacIvor</w:t>
      </w:r>
    </w:p>
    <w:p w14:paraId="5ABA5E35" w14:textId="6F1D50F5" w:rsidR="00FF7C2F" w:rsidRDefault="00EE4B3C">
      <w:r>
        <w:rPr>
          <w:u w:val="single"/>
        </w:rPr>
        <w:t xml:space="preserve">I. </w:t>
      </w:r>
      <w:r w:rsidR="00AD1ED6" w:rsidRPr="0029026F">
        <w:rPr>
          <w:u w:val="single"/>
        </w:rPr>
        <w:t>Introduction</w:t>
      </w:r>
    </w:p>
    <w:p w14:paraId="3ABCF07F" w14:textId="77777777" w:rsidR="00AD1ED6" w:rsidRDefault="00AD1ED6"/>
    <w:p w14:paraId="7D62F86C" w14:textId="689DE8B2" w:rsidR="00762478" w:rsidRDefault="00762478">
      <w:r>
        <w:tab/>
      </w:r>
      <w:r w:rsidR="00CD326C">
        <w:t>In March 2016</w:t>
      </w:r>
      <w:r w:rsidR="00D602D4">
        <w:t>,</w:t>
      </w:r>
      <w:r w:rsidR="00CD326C">
        <w:t xml:space="preserve"> Justice </w:t>
      </w:r>
      <w:r w:rsidR="00CD326C" w:rsidRPr="000839CC">
        <w:t>Simon Noël</w:t>
      </w:r>
      <w:r w:rsidR="00CD326C">
        <w:t xml:space="preserve"> of the Federal Court </w:t>
      </w:r>
      <w:r w:rsidR="00D602D4">
        <w:t xml:space="preserve">of Canada </w:t>
      </w:r>
      <w:r w:rsidR="00CD326C">
        <w:t>dismissed Edgar Schmidt’s case against the Attorney General of Canada (“AGC”).</w:t>
      </w:r>
      <w:r w:rsidR="00CD326C">
        <w:rPr>
          <w:rStyle w:val="EndnoteReference"/>
        </w:rPr>
        <w:endnoteReference w:id="1"/>
      </w:r>
      <w:r w:rsidR="00CD326C">
        <w:t xml:space="preserve"> Mr. Schmidt, a former lawyer in the federal Department of Justice (“DOJ”), argue</w:t>
      </w:r>
      <w:r w:rsidR="00D602D4">
        <w:t>d</w:t>
      </w:r>
      <w:r w:rsidR="00CD326C">
        <w:t xml:space="preserve"> that the Government </w:t>
      </w:r>
      <w:r w:rsidR="00D602D4">
        <w:t>wa</w:t>
      </w:r>
      <w:r w:rsidR="00CD326C">
        <w:t xml:space="preserve">s failing in its </w:t>
      </w:r>
      <w:r w:rsidR="00D602D4" w:rsidRPr="00F753AB">
        <w:t>reporting</w:t>
      </w:r>
      <w:r w:rsidR="00D602D4">
        <w:t xml:space="preserve"> </w:t>
      </w:r>
      <w:r w:rsidR="00CD326C">
        <w:t>dut</w:t>
      </w:r>
      <w:r w:rsidR="00D602D4">
        <w:t>ies</w:t>
      </w:r>
      <w:r w:rsidR="00CD326C">
        <w:t xml:space="preserve"> under section 4.1 of the </w:t>
      </w:r>
      <w:r w:rsidR="00CD326C" w:rsidRPr="006E7E41">
        <w:rPr>
          <w:i/>
        </w:rPr>
        <w:t>Department of Justice Act</w:t>
      </w:r>
      <w:r w:rsidR="00CD326C">
        <w:t xml:space="preserve"> (“the </w:t>
      </w:r>
      <w:r w:rsidR="00CD326C" w:rsidRPr="00F753AB">
        <w:rPr>
          <w:i/>
        </w:rPr>
        <w:t>Act</w:t>
      </w:r>
      <w:r w:rsidR="00CD326C">
        <w:t>”)</w:t>
      </w:r>
      <w:r w:rsidR="00CD326C">
        <w:rPr>
          <w:rStyle w:val="EndnoteReference"/>
        </w:rPr>
        <w:endnoteReference w:id="2"/>
      </w:r>
      <w:r w:rsidR="00CD326C">
        <w:t xml:space="preserve">. That provision requires the federal Minister of Justice to “ascertain” whether a Government Bill tabled in the Commons is “inconsistent with the purposes and provisions” of the </w:t>
      </w:r>
      <w:r w:rsidR="00CD326C" w:rsidRPr="00B94C48">
        <w:rPr>
          <w:i/>
        </w:rPr>
        <w:t>Charter</w:t>
      </w:r>
      <w:r w:rsidR="00CD326C">
        <w:t>, and to “report any such inconsistency to the House of Commons at the first convenient opportunity.” Mr. Schmidt claim</w:t>
      </w:r>
      <w:r w:rsidR="00D602D4">
        <w:t>ed</w:t>
      </w:r>
      <w:r w:rsidR="00CD326C">
        <w:t xml:space="preserve"> that the standard used to determine inconsistency with the </w:t>
      </w:r>
      <w:r w:rsidR="00CD326C" w:rsidRPr="00696E9E">
        <w:rPr>
          <w:i/>
        </w:rPr>
        <w:t>Charter</w:t>
      </w:r>
      <w:r w:rsidR="00CD326C">
        <w:t xml:space="preserve"> – whether the Government could make a “credible argument” for the Bill’s constitutionality in the event of a court challenge – is too low. He submit</w:t>
      </w:r>
      <w:r w:rsidR="00D602D4">
        <w:t>ted</w:t>
      </w:r>
      <w:r w:rsidR="00CD326C">
        <w:t xml:space="preserve"> that the Government should be obliged to declare an inconsistency whenever it is “more likely than not” that a court would find the Bill partially or wholly inconsistent with the </w:t>
      </w:r>
      <w:r w:rsidR="00CD326C" w:rsidRPr="001571C8">
        <w:rPr>
          <w:i/>
        </w:rPr>
        <w:t>Charter</w:t>
      </w:r>
      <w:r w:rsidR="00CD326C">
        <w:t>.</w:t>
      </w:r>
      <w:r w:rsidR="00D602D4">
        <w:t xml:space="preserve">  Mr. Schmidt has appealed the dismissal of his application</w:t>
      </w:r>
      <w:r w:rsidR="00F00C63">
        <w:t xml:space="preserve"> to the Federal Court of Appeal</w:t>
      </w:r>
      <w:r w:rsidR="00D602D4">
        <w:t>, which, at the time of this writing, has yet to hear the case.</w:t>
      </w:r>
    </w:p>
    <w:p w14:paraId="58E14197" w14:textId="6ED97E35" w:rsidR="008A6A56" w:rsidRDefault="00EA1C5A">
      <w:r>
        <w:tab/>
        <w:t xml:space="preserve">In </w:t>
      </w:r>
      <w:r w:rsidR="001E66D4">
        <w:t>September 2016</w:t>
      </w:r>
      <w:r w:rsidR="00D602D4">
        <w:t>,</w:t>
      </w:r>
      <w:r w:rsidR="001E66D4">
        <w:t xml:space="preserve"> the Canadian Civil Liberties Association (CCLA) </w:t>
      </w:r>
      <w:r w:rsidR="00756B33">
        <w:t xml:space="preserve">released </w:t>
      </w:r>
      <w:r w:rsidR="008339E0">
        <w:t>“</w:t>
      </w:r>
      <w:r w:rsidR="008339E0" w:rsidRPr="004C551A">
        <w:t>Charter</w:t>
      </w:r>
      <w:r w:rsidR="008339E0">
        <w:t xml:space="preserve"> First: A Blueprint </w:t>
      </w:r>
      <w:r w:rsidR="00045542">
        <w:t>for Prioritizing Rights in Canadian Lawmaking”.</w:t>
      </w:r>
      <w:r w:rsidR="00A20EE7">
        <w:rPr>
          <w:rStyle w:val="EndnoteReference"/>
        </w:rPr>
        <w:endnoteReference w:id="3"/>
      </w:r>
      <w:r w:rsidR="00375D41">
        <w:t xml:space="preserve"> The report </w:t>
      </w:r>
      <w:r w:rsidR="00F61EBC">
        <w:t xml:space="preserve">recommends a revamped </w:t>
      </w:r>
      <w:r w:rsidR="00CD1051">
        <w:t xml:space="preserve">procedure for </w:t>
      </w:r>
      <w:r w:rsidR="00E23B34">
        <w:t xml:space="preserve">crafting </w:t>
      </w:r>
      <w:r w:rsidR="00CD1051">
        <w:t xml:space="preserve">Government Bills, </w:t>
      </w:r>
      <w:r w:rsidR="00F61EBC">
        <w:t>and changes to the l</w:t>
      </w:r>
      <w:r w:rsidR="00653759">
        <w:t>egislative process in the House of Commons and Senate</w:t>
      </w:r>
      <w:r w:rsidR="00976ADF">
        <w:t xml:space="preserve">. The </w:t>
      </w:r>
      <w:r w:rsidR="00286709">
        <w:t xml:space="preserve">stated </w:t>
      </w:r>
      <w:r w:rsidR="000C2205">
        <w:t xml:space="preserve">goal of these recommendations </w:t>
      </w:r>
      <w:r w:rsidR="00FC7EAD">
        <w:t xml:space="preserve">is to </w:t>
      </w:r>
      <w:r w:rsidR="00B669AC">
        <w:t xml:space="preserve">ensure that </w:t>
      </w:r>
      <w:r w:rsidR="00213A62">
        <w:t xml:space="preserve">future federal laws conform to the </w:t>
      </w:r>
      <w:r w:rsidR="00972FB2" w:rsidRPr="00E05DA5">
        <w:rPr>
          <w:i/>
        </w:rPr>
        <w:t xml:space="preserve">Canadian </w:t>
      </w:r>
      <w:r w:rsidR="00E23B34" w:rsidRPr="00E05DA5">
        <w:rPr>
          <w:i/>
        </w:rPr>
        <w:t>Charter</w:t>
      </w:r>
      <w:r w:rsidR="00972FB2" w:rsidRPr="00E05DA5">
        <w:rPr>
          <w:i/>
        </w:rPr>
        <w:t xml:space="preserve"> of Rights and Freedoms</w:t>
      </w:r>
      <w:r w:rsidR="00286709">
        <w:rPr>
          <w:i/>
        </w:rPr>
        <w:t>.</w:t>
      </w:r>
      <w:r w:rsidR="004A6CCF" w:rsidRPr="00286709">
        <w:rPr>
          <w:rStyle w:val="EndnoteReference"/>
        </w:rPr>
        <w:endnoteReference w:id="4"/>
      </w:r>
      <w:r w:rsidR="00886293">
        <w:rPr>
          <w:i/>
        </w:rPr>
        <w:t xml:space="preserve"> </w:t>
      </w:r>
      <w:r w:rsidR="004069F0">
        <w:t xml:space="preserve">The CCLA intervened </w:t>
      </w:r>
      <w:r w:rsidR="00886293">
        <w:t xml:space="preserve">in </w:t>
      </w:r>
      <w:r w:rsidR="00886293" w:rsidRPr="00886293">
        <w:rPr>
          <w:i/>
        </w:rPr>
        <w:t>Schmidt</w:t>
      </w:r>
      <w:r w:rsidR="00886293">
        <w:t xml:space="preserve"> </w:t>
      </w:r>
      <w:r w:rsidR="00D602D4">
        <w:t xml:space="preserve">and argued </w:t>
      </w:r>
      <w:r w:rsidR="00E15671">
        <w:t>in support of the higher standard</w:t>
      </w:r>
      <w:r w:rsidR="009164DF">
        <w:t xml:space="preserve">; it </w:t>
      </w:r>
      <w:r w:rsidR="00D602D4">
        <w:t xml:space="preserve">has been </w:t>
      </w:r>
      <w:r w:rsidR="00282810">
        <w:t xml:space="preserve">granted leave to intervene </w:t>
      </w:r>
      <w:r w:rsidR="00FE0787">
        <w:t>at the Federal Court of A</w:t>
      </w:r>
      <w:r w:rsidR="00282810">
        <w:t>ppeal</w:t>
      </w:r>
      <w:r w:rsidR="00FE0787">
        <w:t>.</w:t>
      </w:r>
    </w:p>
    <w:p w14:paraId="549E2F85" w14:textId="387E2E79" w:rsidR="005D58E5" w:rsidRDefault="003C129F" w:rsidP="00063904">
      <w:r>
        <w:tab/>
      </w:r>
      <w:r w:rsidR="00EF105D">
        <w:t>Among other recommendations</w:t>
      </w:r>
      <w:r w:rsidR="00F45BAD">
        <w:t xml:space="preserve"> in “</w:t>
      </w:r>
      <w:r w:rsidR="00F45BAD" w:rsidRPr="00146B11">
        <w:rPr>
          <w:i/>
        </w:rPr>
        <w:t>Charter</w:t>
      </w:r>
      <w:r w:rsidR="00F45BAD">
        <w:t xml:space="preserve"> First”</w:t>
      </w:r>
      <w:r w:rsidR="00EF105D">
        <w:t xml:space="preserve">, </w:t>
      </w:r>
      <w:r w:rsidR="00F91C54">
        <w:t>t</w:t>
      </w:r>
      <w:r w:rsidR="00C42953">
        <w:t xml:space="preserve">he CCLA </w:t>
      </w:r>
      <w:r w:rsidR="00D94840">
        <w:t>call</w:t>
      </w:r>
      <w:r w:rsidR="00F91C54">
        <w:t>s</w:t>
      </w:r>
      <w:r w:rsidR="00D94840">
        <w:t xml:space="preserve"> for </w:t>
      </w:r>
      <w:r w:rsidR="00A17C80">
        <w:t xml:space="preserve">two </w:t>
      </w:r>
      <w:r w:rsidR="006F6312">
        <w:t xml:space="preserve">amendments to </w:t>
      </w:r>
      <w:r w:rsidR="001B0FE1">
        <w:t xml:space="preserve">s. 4.1 of </w:t>
      </w:r>
      <w:r w:rsidR="006F6312">
        <w:t xml:space="preserve">the </w:t>
      </w:r>
      <w:r w:rsidR="006F6312" w:rsidRPr="008529D3">
        <w:rPr>
          <w:i/>
        </w:rPr>
        <w:t>Act</w:t>
      </w:r>
      <w:r w:rsidR="00D602D4">
        <w:t>:</w:t>
      </w:r>
      <w:r w:rsidR="00A17C80">
        <w:t xml:space="preserve"> </w:t>
      </w:r>
    </w:p>
    <w:p w14:paraId="5391F036" w14:textId="2A28B710" w:rsidR="00B428C5" w:rsidRDefault="00D602D4" w:rsidP="00553DF5">
      <w:pPr>
        <w:pStyle w:val="ListParagraph"/>
        <w:numPr>
          <w:ilvl w:val="0"/>
          <w:numId w:val="1"/>
        </w:numPr>
      </w:pPr>
      <w:r>
        <w:t>to</w:t>
      </w:r>
      <w:r w:rsidR="00E32637">
        <w:t xml:space="preserve"> require the Minister of Justice </w:t>
      </w:r>
      <w:r w:rsidR="00B61D42">
        <w:t xml:space="preserve">to </w:t>
      </w:r>
      <w:r w:rsidR="003D5F98">
        <w:t xml:space="preserve">apply </w:t>
      </w:r>
      <w:r w:rsidR="00BD1CBC">
        <w:t>the</w:t>
      </w:r>
      <w:r w:rsidR="003D5F98">
        <w:t xml:space="preserve"> </w:t>
      </w:r>
      <w:r w:rsidR="00AE1354">
        <w:t>“</w:t>
      </w:r>
      <w:r w:rsidR="003D3994">
        <w:t>balance of probabilities</w:t>
      </w:r>
      <w:r w:rsidR="00AE1354">
        <w:t xml:space="preserve">” </w:t>
      </w:r>
      <w:r w:rsidR="006D7931">
        <w:t>standard</w:t>
      </w:r>
      <w:r>
        <w:t>,</w:t>
      </w:r>
      <w:r w:rsidR="006D7931">
        <w:t xml:space="preserve"> </w:t>
      </w:r>
      <w:r w:rsidR="00964D54">
        <w:t xml:space="preserve">which Justice </w:t>
      </w:r>
      <w:r w:rsidR="00964D54" w:rsidRPr="000839CC">
        <w:t>Noël</w:t>
      </w:r>
      <w:r w:rsidR="00964D54">
        <w:t xml:space="preserve"> rejected in </w:t>
      </w:r>
      <w:r w:rsidR="00964D54" w:rsidRPr="00BC52BC">
        <w:rPr>
          <w:i/>
        </w:rPr>
        <w:t>Schmidt</w:t>
      </w:r>
      <w:r>
        <w:t>; and</w:t>
      </w:r>
    </w:p>
    <w:p w14:paraId="20B91ADD" w14:textId="77777777" w:rsidR="00553DF5" w:rsidRDefault="006D7931" w:rsidP="00B428C5">
      <w:pPr>
        <w:pStyle w:val="ListParagraph"/>
      </w:pPr>
      <w:r>
        <w:t xml:space="preserve"> </w:t>
      </w:r>
    </w:p>
    <w:p w14:paraId="7848628E" w14:textId="597E2058" w:rsidR="00A77E20" w:rsidRDefault="00D602D4" w:rsidP="00553DF5">
      <w:pPr>
        <w:pStyle w:val="ListParagraph"/>
        <w:numPr>
          <w:ilvl w:val="0"/>
          <w:numId w:val="1"/>
        </w:numPr>
      </w:pPr>
      <w:proofErr w:type="gramStart"/>
      <w:r>
        <w:t>to</w:t>
      </w:r>
      <w:proofErr w:type="gramEnd"/>
      <w:r w:rsidR="008F23F3">
        <w:t xml:space="preserve"> oblige the </w:t>
      </w:r>
      <w:r w:rsidR="00971F60">
        <w:t xml:space="preserve">Minister to attach “a detailed statement of </w:t>
      </w:r>
      <w:r w:rsidR="00971F60" w:rsidRPr="00553DF5">
        <w:rPr>
          <w:i/>
        </w:rPr>
        <w:t>Charter</w:t>
      </w:r>
      <w:r w:rsidR="00971F60">
        <w:t xml:space="preserve"> compatibility” to every Government </w:t>
      </w:r>
      <w:r>
        <w:t xml:space="preserve">bill </w:t>
      </w:r>
      <w:r w:rsidR="00530B19">
        <w:t xml:space="preserve">– not </w:t>
      </w:r>
      <w:r w:rsidR="00081703">
        <w:t xml:space="preserve">just those </w:t>
      </w:r>
      <w:r w:rsidR="004631DC">
        <w:t>that</w:t>
      </w:r>
      <w:r w:rsidR="00081703">
        <w:t xml:space="preserve"> </w:t>
      </w:r>
      <w:r w:rsidR="004B077D">
        <w:t xml:space="preserve">failed the “balance of probabilities” test. </w:t>
      </w:r>
      <w:r w:rsidR="00063904">
        <w:t>This statement would “include an acknowledgement of which rights, if any, are engaged by the</w:t>
      </w:r>
      <w:r w:rsidR="003E1C10">
        <w:t xml:space="preserve"> </w:t>
      </w:r>
      <w:r w:rsidR="00063904">
        <w:t>bill; the government’s justification for any potential infringements under section 1</w:t>
      </w:r>
      <w:r w:rsidR="003E1C10">
        <w:t xml:space="preserve"> </w:t>
      </w:r>
      <w:r w:rsidR="00063904">
        <w:t xml:space="preserve">of the </w:t>
      </w:r>
      <w:r w:rsidR="00063904" w:rsidRPr="00553DF5">
        <w:rPr>
          <w:i/>
        </w:rPr>
        <w:t>Charter</w:t>
      </w:r>
      <w:r w:rsidR="00063904">
        <w:t>; the ‘tests’, factors, or reasonable alternatives considered to reach</w:t>
      </w:r>
      <w:r w:rsidR="003E1C10">
        <w:t xml:space="preserve"> </w:t>
      </w:r>
      <w:r w:rsidR="00063904">
        <w:t>the conclusion; reference to jurisprudence and relevant judicial precedents; and an</w:t>
      </w:r>
      <w:r w:rsidR="003E1C10">
        <w:t xml:space="preserve"> </w:t>
      </w:r>
      <w:r w:rsidR="00063904">
        <w:t>acknowledgement if the bill contradicts existing norms or precedents.”</w:t>
      </w:r>
      <w:r w:rsidR="00417A71">
        <w:rPr>
          <w:rStyle w:val="EndnoteReference"/>
        </w:rPr>
        <w:endnoteReference w:id="5"/>
      </w:r>
      <w:r w:rsidR="000B4C1F">
        <w:t xml:space="preserve"> </w:t>
      </w:r>
      <w:r w:rsidR="00A77E20">
        <w:t>In effect, th</w:t>
      </w:r>
      <w:r w:rsidR="0033274B">
        <w:t xml:space="preserve">e </w:t>
      </w:r>
      <w:r w:rsidR="00265BEC">
        <w:t xml:space="preserve">amended s. 4.1 would require the </w:t>
      </w:r>
      <w:r w:rsidR="00AB57CA">
        <w:t xml:space="preserve">Government </w:t>
      </w:r>
      <w:r w:rsidR="00265BEC">
        <w:t xml:space="preserve">to </w:t>
      </w:r>
      <w:r w:rsidR="00827C3F">
        <w:t xml:space="preserve">disclose </w:t>
      </w:r>
      <w:r w:rsidR="00265BEC">
        <w:t xml:space="preserve">the </w:t>
      </w:r>
      <w:r w:rsidR="00F23547">
        <w:t xml:space="preserve">DOJ’s </w:t>
      </w:r>
      <w:r w:rsidR="0011450C">
        <w:t xml:space="preserve">legal advice </w:t>
      </w:r>
      <w:r w:rsidR="007F77C7">
        <w:t xml:space="preserve">to Cabinet </w:t>
      </w:r>
      <w:r w:rsidR="00702C56">
        <w:t xml:space="preserve">concerning </w:t>
      </w:r>
      <w:r w:rsidR="005A74B4" w:rsidRPr="00A25672">
        <w:rPr>
          <w:i/>
        </w:rPr>
        <w:t>Charter</w:t>
      </w:r>
      <w:r w:rsidR="005A74B4">
        <w:t xml:space="preserve"> compliance.</w:t>
      </w:r>
      <w:r w:rsidR="00F600CC">
        <w:t xml:space="preserve"> </w:t>
      </w:r>
      <w:r w:rsidR="00552687">
        <w:t>Under the present system, suc</w:t>
      </w:r>
      <w:r w:rsidR="00781744">
        <w:t>h advice is not disclosed to anyone outside the executive branch of government</w:t>
      </w:r>
      <w:r w:rsidR="00F615FE">
        <w:t xml:space="preserve"> – including legislators</w:t>
      </w:r>
      <w:r w:rsidR="00781744">
        <w:t xml:space="preserve">. </w:t>
      </w:r>
      <w:r w:rsidR="001F2932">
        <w:t xml:space="preserve">(DOJ lawyers can and do attend Committee </w:t>
      </w:r>
      <w:r w:rsidR="00BC210E">
        <w:t xml:space="preserve">meetings to assist MPs and Senators </w:t>
      </w:r>
      <w:r w:rsidR="004C4955">
        <w:t xml:space="preserve">with the detailed </w:t>
      </w:r>
      <w:r w:rsidR="00BC210E">
        <w:t>scrutin</w:t>
      </w:r>
      <w:r w:rsidR="004C4955">
        <w:t xml:space="preserve">y of </w:t>
      </w:r>
      <w:r w:rsidR="00BC210E">
        <w:t xml:space="preserve">bills, </w:t>
      </w:r>
      <w:r w:rsidR="00D6428D">
        <w:t xml:space="preserve">but they </w:t>
      </w:r>
      <w:r w:rsidR="00273C6E">
        <w:t>can</w:t>
      </w:r>
      <w:r w:rsidR="00D6428D">
        <w:t xml:space="preserve">not divulge </w:t>
      </w:r>
      <w:r w:rsidR="00B969C3">
        <w:t xml:space="preserve">privileged </w:t>
      </w:r>
      <w:r w:rsidR="006B173F">
        <w:t xml:space="preserve">advice.) </w:t>
      </w:r>
      <w:r w:rsidR="001805D6">
        <w:t xml:space="preserve">While </w:t>
      </w:r>
      <w:r w:rsidR="009B1CAA">
        <w:t xml:space="preserve">the CCLA </w:t>
      </w:r>
      <w:r w:rsidR="000C5FEB">
        <w:t xml:space="preserve">does not expressly state that </w:t>
      </w:r>
      <w:r w:rsidR="00880BC6">
        <w:t xml:space="preserve">the proposed </w:t>
      </w:r>
      <w:r w:rsidR="000C5FEB">
        <w:t xml:space="preserve">“statements of </w:t>
      </w:r>
      <w:r w:rsidR="000C5FEB" w:rsidRPr="00014F68">
        <w:rPr>
          <w:i/>
        </w:rPr>
        <w:t>Charter</w:t>
      </w:r>
      <w:r w:rsidR="000C5FEB">
        <w:t xml:space="preserve"> compatibility” </w:t>
      </w:r>
      <w:r w:rsidR="006D4678">
        <w:t xml:space="preserve">would be </w:t>
      </w:r>
      <w:r w:rsidR="00B95F9A">
        <w:lastRenderedPageBreak/>
        <w:t>widely published</w:t>
      </w:r>
      <w:r w:rsidR="009015A0">
        <w:t xml:space="preserve">, </w:t>
      </w:r>
      <w:r w:rsidR="008C0EBB">
        <w:t xml:space="preserve">it is reasonable to assume that </w:t>
      </w:r>
      <w:r w:rsidR="00662168">
        <w:t>such statement</w:t>
      </w:r>
      <w:r w:rsidR="00A74708">
        <w:t>s</w:t>
      </w:r>
      <w:r w:rsidR="00662168">
        <w:t xml:space="preserve"> </w:t>
      </w:r>
      <w:r w:rsidR="00B95F9A">
        <w:t xml:space="preserve">would become public </w:t>
      </w:r>
      <w:r w:rsidR="004A28C9">
        <w:t xml:space="preserve">as soon as </w:t>
      </w:r>
      <w:r w:rsidR="00E0157A">
        <w:t>the</w:t>
      </w:r>
      <w:r w:rsidR="00574C25">
        <w:t>y were</w:t>
      </w:r>
      <w:r w:rsidR="00E0157A">
        <w:t xml:space="preserve"> </w:t>
      </w:r>
      <w:r w:rsidR="00662168">
        <w:t>tabled in the House of Commons</w:t>
      </w:r>
      <w:r w:rsidR="008303FB">
        <w:t xml:space="preserve">. </w:t>
      </w:r>
      <w:r w:rsidR="00C82FA1">
        <w:t>T</w:t>
      </w:r>
      <w:r w:rsidR="00E17536">
        <w:t>he CCL</w:t>
      </w:r>
      <w:r w:rsidR="005B72CF">
        <w:t xml:space="preserve">A Report </w:t>
      </w:r>
      <w:r w:rsidR="00261D78">
        <w:t xml:space="preserve">refers approvingly to </w:t>
      </w:r>
      <w:r w:rsidR="00401452">
        <w:t>New Zealand</w:t>
      </w:r>
      <w:r w:rsidR="00261D78">
        <w:t>,</w:t>
      </w:r>
      <w:r w:rsidR="00401452">
        <w:t xml:space="preserve"> where</w:t>
      </w:r>
      <w:r w:rsidR="00261D78">
        <w:t xml:space="preserve"> (</w:t>
      </w:r>
      <w:r w:rsidR="00401452">
        <w:t>as described below</w:t>
      </w:r>
      <w:r w:rsidR="00261D78">
        <w:t>)</w:t>
      </w:r>
      <w:r w:rsidR="00401452">
        <w:t xml:space="preserve"> </w:t>
      </w:r>
      <w:r w:rsidR="002D63D2">
        <w:t xml:space="preserve">reports to </w:t>
      </w:r>
      <w:r w:rsidR="003574FC">
        <w:t xml:space="preserve">the legislature </w:t>
      </w:r>
      <w:r w:rsidR="00EB16B8">
        <w:t xml:space="preserve">on rights compliance </w:t>
      </w:r>
      <w:r w:rsidR="00827148">
        <w:t xml:space="preserve">are </w:t>
      </w:r>
      <w:r w:rsidR="00EA5ED4">
        <w:t xml:space="preserve">posted on the </w:t>
      </w:r>
      <w:r w:rsidR="00656A75">
        <w:t xml:space="preserve">Justice </w:t>
      </w:r>
      <w:r w:rsidR="00F10BBD">
        <w:t>Ministry’s website</w:t>
      </w:r>
      <w:r w:rsidR="00373D3D">
        <w:t>.</w:t>
      </w:r>
    </w:p>
    <w:p w14:paraId="0BF9CC5D" w14:textId="5E19031D" w:rsidR="00CE27E3" w:rsidRDefault="00A77E20">
      <w:r>
        <w:tab/>
      </w:r>
      <w:r w:rsidR="00072004">
        <w:t xml:space="preserve">In principle, </w:t>
      </w:r>
      <w:r w:rsidR="003C34CC">
        <w:t>b</w:t>
      </w:r>
      <w:r w:rsidR="000A5E2E">
        <w:t xml:space="preserve">oth </w:t>
      </w:r>
      <w:r w:rsidR="004642E5">
        <w:t xml:space="preserve">amendments could enhance </w:t>
      </w:r>
      <w:r w:rsidR="008C571A">
        <w:t xml:space="preserve">transparency and accountability in </w:t>
      </w:r>
      <w:r w:rsidR="006C0184">
        <w:t xml:space="preserve">federal law-making. </w:t>
      </w:r>
      <w:r w:rsidR="00F154DA">
        <w:t xml:space="preserve">The recent experience with Bill C-14, the </w:t>
      </w:r>
      <w:r w:rsidR="00615867">
        <w:t xml:space="preserve">“medical assistance in dying” </w:t>
      </w:r>
      <w:r w:rsidR="005373A4">
        <w:t xml:space="preserve">(“MAID”) </w:t>
      </w:r>
      <w:r w:rsidR="00615867">
        <w:t xml:space="preserve">legislation, </w:t>
      </w:r>
      <w:r w:rsidR="000A5188">
        <w:t xml:space="preserve">suggests that </w:t>
      </w:r>
      <w:r w:rsidR="00CF19A9">
        <w:t xml:space="preserve">publishing the Government’s </w:t>
      </w:r>
      <w:r w:rsidR="00CF19A9" w:rsidRPr="008305B3">
        <w:rPr>
          <w:i/>
        </w:rPr>
        <w:t>Charter</w:t>
      </w:r>
      <w:r w:rsidR="00CF19A9">
        <w:t xml:space="preserve"> analyses </w:t>
      </w:r>
      <w:r w:rsidR="006D4AF5">
        <w:t>can enhance</w:t>
      </w:r>
      <w:r w:rsidR="004A40CD">
        <w:t xml:space="preserve"> </w:t>
      </w:r>
      <w:r w:rsidR="006F0EF3">
        <w:t>public and parliamentary debate.</w:t>
      </w:r>
      <w:r w:rsidR="00624E37">
        <w:rPr>
          <w:rStyle w:val="EndnoteReference"/>
        </w:rPr>
        <w:endnoteReference w:id="6"/>
      </w:r>
      <w:r w:rsidR="006F0EF3">
        <w:t xml:space="preserve"> </w:t>
      </w:r>
      <w:r w:rsidR="0000596C">
        <w:t>In practice,</w:t>
      </w:r>
      <w:r w:rsidR="00B51BC8">
        <w:t xml:space="preserve"> </w:t>
      </w:r>
      <w:r w:rsidR="00671941">
        <w:t xml:space="preserve">enforced disclosure of </w:t>
      </w:r>
      <w:r w:rsidR="008B14D0">
        <w:t xml:space="preserve">the DOJ’s </w:t>
      </w:r>
      <w:r w:rsidR="008B14D0" w:rsidRPr="00F379F4">
        <w:rPr>
          <w:i/>
        </w:rPr>
        <w:t>Charter</w:t>
      </w:r>
      <w:r w:rsidR="008B14D0">
        <w:t xml:space="preserve"> </w:t>
      </w:r>
      <w:r w:rsidR="002F718F">
        <w:t>advice</w:t>
      </w:r>
      <w:r w:rsidR="008B14D0">
        <w:t xml:space="preserve"> </w:t>
      </w:r>
      <w:r w:rsidR="00F16F37">
        <w:t>c</w:t>
      </w:r>
      <w:r w:rsidR="003101D3">
        <w:t xml:space="preserve">ould </w:t>
      </w:r>
      <w:r w:rsidR="00F70D72">
        <w:t>undermine</w:t>
      </w:r>
      <w:r w:rsidR="003101D3">
        <w:t xml:space="preserve"> </w:t>
      </w:r>
      <w:r w:rsidR="00014F68">
        <w:t xml:space="preserve">the separation of powers, </w:t>
      </w:r>
      <w:r w:rsidR="00B036A7">
        <w:t xml:space="preserve">solicitor-client privilege and </w:t>
      </w:r>
      <w:r w:rsidR="00C15204">
        <w:t xml:space="preserve">Cabinet </w:t>
      </w:r>
      <w:r w:rsidR="00F961AC">
        <w:t>confidentiality</w:t>
      </w:r>
      <w:r w:rsidR="002C51A5">
        <w:t>.</w:t>
      </w:r>
    </w:p>
    <w:p w14:paraId="0921B91F" w14:textId="77777777" w:rsidR="007F2E49" w:rsidRDefault="007F2E49"/>
    <w:p w14:paraId="6DC7899D" w14:textId="77777777" w:rsidR="00AD1ED6" w:rsidRDefault="00AD1ED6">
      <w:r>
        <w:t xml:space="preserve">II. </w:t>
      </w:r>
      <w:r w:rsidR="009C1CBD" w:rsidRPr="00D1311B">
        <w:rPr>
          <w:i/>
          <w:u w:val="single"/>
        </w:rPr>
        <w:t>Schmidt v</w:t>
      </w:r>
      <w:r w:rsidR="00E10122" w:rsidRPr="00D1311B">
        <w:rPr>
          <w:i/>
          <w:u w:val="single"/>
        </w:rPr>
        <w:t xml:space="preserve"> </w:t>
      </w:r>
      <w:r w:rsidR="006C39AF" w:rsidRPr="00D1311B">
        <w:rPr>
          <w:i/>
          <w:u w:val="single"/>
        </w:rPr>
        <w:t>Canada</w:t>
      </w:r>
      <w:r w:rsidR="006C39AF">
        <w:t xml:space="preserve"> </w:t>
      </w:r>
    </w:p>
    <w:p w14:paraId="1AF74473" w14:textId="77777777" w:rsidR="0023314B" w:rsidRDefault="0023314B"/>
    <w:p w14:paraId="1B099F5C" w14:textId="77777777" w:rsidR="00A20160" w:rsidRDefault="00A91311">
      <w:r>
        <w:tab/>
      </w:r>
      <w:r w:rsidR="00E12864">
        <w:t xml:space="preserve">The </w:t>
      </w:r>
      <w:r w:rsidR="00640BC8" w:rsidRPr="007C448A">
        <w:rPr>
          <w:i/>
        </w:rPr>
        <w:t>Schmidt</w:t>
      </w:r>
      <w:r w:rsidR="00640BC8">
        <w:t xml:space="preserve"> </w:t>
      </w:r>
      <w:r w:rsidR="00E12864">
        <w:t xml:space="preserve">case opened a window into the secretive </w:t>
      </w:r>
      <w:r w:rsidR="00193172" w:rsidRPr="00DB2590">
        <w:rPr>
          <w:i/>
        </w:rPr>
        <w:t>Charter</w:t>
      </w:r>
      <w:r w:rsidR="00193172">
        <w:t xml:space="preserve"> </w:t>
      </w:r>
      <w:r w:rsidR="00F5584A">
        <w:t xml:space="preserve">vetting process in the federal DOJ. </w:t>
      </w:r>
      <w:r w:rsidR="00F212CC">
        <w:t xml:space="preserve">In his reasons, </w:t>
      </w:r>
      <w:r w:rsidR="00E537C7">
        <w:t xml:space="preserve">Justice </w:t>
      </w:r>
      <w:r w:rsidR="00E537C7" w:rsidRPr="000839CC">
        <w:t>Noël</w:t>
      </w:r>
      <w:r w:rsidR="00D20FAA">
        <w:t xml:space="preserve"> </w:t>
      </w:r>
      <w:r w:rsidR="004336BC">
        <w:t xml:space="preserve">summarized </w:t>
      </w:r>
      <w:r w:rsidR="00DE430E">
        <w:t xml:space="preserve">the Government’s </w:t>
      </w:r>
      <w:r w:rsidR="004336BC">
        <w:t xml:space="preserve">extensive evidence </w:t>
      </w:r>
      <w:r w:rsidR="007E2267">
        <w:t xml:space="preserve">about </w:t>
      </w:r>
      <w:r w:rsidR="00AC7B49">
        <w:t xml:space="preserve">the involvement </w:t>
      </w:r>
      <w:r w:rsidR="000F3B96">
        <w:t xml:space="preserve">of </w:t>
      </w:r>
      <w:r w:rsidR="00363CF0">
        <w:t xml:space="preserve">its </w:t>
      </w:r>
      <w:r w:rsidR="00494929">
        <w:t>legal advisors at every stage</w:t>
      </w:r>
      <w:r w:rsidR="00363CF0">
        <w:t xml:space="preserve"> of policy development</w:t>
      </w:r>
      <w:r w:rsidR="00494929">
        <w:t xml:space="preserve">. </w:t>
      </w:r>
      <w:r w:rsidR="00DD4D70">
        <w:t>Of particular interest are the discussions of “</w:t>
      </w:r>
      <w:r w:rsidR="00893FAC">
        <w:t>L</w:t>
      </w:r>
      <w:r w:rsidR="00DD4D70">
        <w:t xml:space="preserve">egal </w:t>
      </w:r>
      <w:r w:rsidR="00893FAC">
        <w:t>R</w:t>
      </w:r>
      <w:r w:rsidR="00DD4D70">
        <w:t xml:space="preserve">isk </w:t>
      </w:r>
      <w:r w:rsidR="00893FAC">
        <w:t>M</w:t>
      </w:r>
      <w:r w:rsidR="00DD4D70">
        <w:t>anagement”</w:t>
      </w:r>
      <w:r w:rsidR="0070469A">
        <w:t xml:space="preserve"> (LRM)</w:t>
      </w:r>
      <w:r w:rsidR="00F1288E">
        <w:t>,</w:t>
      </w:r>
      <w:r w:rsidR="00DD4D70">
        <w:t xml:space="preserve"> </w:t>
      </w:r>
      <w:r w:rsidR="00DD2C42">
        <w:t>Memoranda</w:t>
      </w:r>
      <w:r w:rsidR="00F1288E">
        <w:t xml:space="preserve"> to Cabinet, </w:t>
      </w:r>
      <w:r w:rsidR="004413EA">
        <w:t xml:space="preserve">and the evolution of the “credible argument” standard. </w:t>
      </w:r>
      <w:r w:rsidR="00EE645F">
        <w:t xml:space="preserve">His Honour </w:t>
      </w:r>
      <w:r w:rsidR="00954AE1">
        <w:t>emphasized</w:t>
      </w:r>
      <w:r w:rsidR="00CF1854">
        <w:t xml:space="preserve"> “</w:t>
      </w:r>
      <w:r w:rsidR="00CF1854" w:rsidRPr="00CF1854">
        <w:t xml:space="preserve">the role of </w:t>
      </w:r>
      <w:r w:rsidR="00CF1854">
        <w:t>the Department of Justice as a ‘law firm’</w:t>
      </w:r>
      <w:r w:rsidR="00CF1854" w:rsidRPr="00CF1854">
        <w:t>-</w:t>
      </w:r>
      <w:r w:rsidR="00CF1854">
        <w:t>type entity</w:t>
      </w:r>
      <w:r w:rsidR="00DB2590">
        <w:t>: p</w:t>
      </w:r>
      <w:r w:rsidR="00CF1854" w:rsidRPr="00CF1854">
        <w:t>rinciples such as solicitor-client relationship apply</w:t>
      </w:r>
      <w:r w:rsidR="00CF1854">
        <w:t>”.</w:t>
      </w:r>
      <w:r w:rsidR="0060366E">
        <w:rPr>
          <w:rStyle w:val="EndnoteReference"/>
        </w:rPr>
        <w:endnoteReference w:id="7"/>
      </w:r>
    </w:p>
    <w:p w14:paraId="5B334D02" w14:textId="77777777" w:rsidR="0040204D" w:rsidRDefault="00BB5BBD" w:rsidP="00A20160">
      <w:r>
        <w:tab/>
      </w:r>
      <w:r w:rsidR="00FA4E56">
        <w:t xml:space="preserve">Justice </w:t>
      </w:r>
      <w:r w:rsidR="0034641D" w:rsidRPr="000839CC">
        <w:t>Noël</w:t>
      </w:r>
      <w:r w:rsidR="00897C84">
        <w:t xml:space="preserve"> </w:t>
      </w:r>
      <w:r w:rsidR="00A20160">
        <w:t xml:space="preserve">found that the Government’s current approach to </w:t>
      </w:r>
      <w:r w:rsidR="006822C6" w:rsidRPr="00E30537">
        <w:rPr>
          <w:i/>
        </w:rPr>
        <w:t>Charter</w:t>
      </w:r>
      <w:r w:rsidR="006822C6">
        <w:t xml:space="preserve"> risk analysis</w:t>
      </w:r>
      <w:r w:rsidR="00A20160">
        <w:t xml:space="preserve"> </w:t>
      </w:r>
      <w:r w:rsidR="003E32E1">
        <w:t>re</w:t>
      </w:r>
      <w:r w:rsidR="00390006">
        <w:t>sp</w:t>
      </w:r>
      <w:r w:rsidR="003E32E1">
        <w:t>ect</w:t>
      </w:r>
      <w:r w:rsidR="00952312">
        <w:t>s</w:t>
      </w:r>
      <w:r w:rsidR="00FA7B65">
        <w:t xml:space="preserve"> the </w:t>
      </w:r>
      <w:r w:rsidR="00EE2D38">
        <w:t xml:space="preserve">separation of powers among </w:t>
      </w:r>
      <w:r w:rsidR="00002A72">
        <w:t xml:space="preserve">our </w:t>
      </w:r>
      <w:r w:rsidR="00A20160">
        <w:t xml:space="preserve">legislative, executive and judicial branches </w:t>
      </w:r>
      <w:r w:rsidR="00002A72">
        <w:t>of government</w:t>
      </w:r>
      <w:r w:rsidR="00FA7B65">
        <w:t xml:space="preserve">. </w:t>
      </w:r>
      <w:r w:rsidR="007656C7">
        <w:t xml:space="preserve">The </w:t>
      </w:r>
      <w:r w:rsidR="007656C7" w:rsidRPr="00EA55FC">
        <w:rPr>
          <w:i/>
        </w:rPr>
        <w:t>Charter</w:t>
      </w:r>
      <w:r w:rsidR="007656C7">
        <w:t xml:space="preserve"> did more than </w:t>
      </w:r>
      <w:r w:rsidR="00764F70">
        <w:t>just entrench</w:t>
      </w:r>
      <w:r w:rsidR="000B0872">
        <w:t xml:space="preserve"> </w:t>
      </w:r>
      <w:r w:rsidR="00032DA5">
        <w:t>rights and freedoms</w:t>
      </w:r>
      <w:r w:rsidR="00D60388">
        <w:t>. I</w:t>
      </w:r>
      <w:r w:rsidR="007656C7">
        <w:t>t a</w:t>
      </w:r>
      <w:r w:rsidR="00764F70">
        <w:t xml:space="preserve">lso </w:t>
      </w:r>
      <w:r w:rsidR="00EA3F09">
        <w:t>endow</w:t>
      </w:r>
      <w:r w:rsidR="00F3090C">
        <w:t xml:space="preserve">ed </w:t>
      </w:r>
      <w:r w:rsidR="009503D1">
        <w:t xml:space="preserve">the </w:t>
      </w:r>
      <w:r w:rsidR="00F3090C">
        <w:t xml:space="preserve">courts with </w:t>
      </w:r>
      <w:r w:rsidR="00D549E7">
        <w:t>broad</w:t>
      </w:r>
      <w:r w:rsidR="00F3090C">
        <w:t xml:space="preserve"> remedial powers. </w:t>
      </w:r>
      <w:r w:rsidR="00920C83">
        <w:t xml:space="preserve">When </w:t>
      </w:r>
      <w:r w:rsidR="008C68C2">
        <w:t xml:space="preserve">a law </w:t>
      </w:r>
      <w:r w:rsidR="00092EEB">
        <w:t xml:space="preserve">is found to violate a </w:t>
      </w:r>
      <w:r w:rsidR="00092EEB" w:rsidRPr="00D10985">
        <w:rPr>
          <w:i/>
        </w:rPr>
        <w:t>Charter</w:t>
      </w:r>
      <w:r w:rsidR="00092EEB">
        <w:t xml:space="preserve"> guarantee, </w:t>
      </w:r>
      <w:r w:rsidR="00EA3F09">
        <w:t xml:space="preserve">and the violation cannot be justified under s. 1, </w:t>
      </w:r>
      <w:r w:rsidR="00AA4367">
        <w:t xml:space="preserve">the offending provision </w:t>
      </w:r>
      <w:r w:rsidR="00D54885">
        <w:t xml:space="preserve">may be nullified or </w:t>
      </w:r>
      <w:r w:rsidR="006A1492">
        <w:t xml:space="preserve">modified pursuant to </w:t>
      </w:r>
      <w:r w:rsidR="00633A28">
        <w:t>s. 52(1</w:t>
      </w:r>
      <w:r w:rsidR="006A1492">
        <w:t xml:space="preserve">) of the </w:t>
      </w:r>
      <w:r w:rsidR="006A1492" w:rsidRPr="0040204D">
        <w:rPr>
          <w:i/>
        </w:rPr>
        <w:t>Constitution Act, 1982</w:t>
      </w:r>
      <w:r w:rsidR="006A1492">
        <w:t xml:space="preserve">. </w:t>
      </w:r>
      <w:r w:rsidR="001D3729">
        <w:t xml:space="preserve">As the Government argued in </w:t>
      </w:r>
      <w:r w:rsidR="001D3729" w:rsidRPr="001D3729">
        <w:rPr>
          <w:i/>
        </w:rPr>
        <w:t>Schmidt</w:t>
      </w:r>
      <w:r w:rsidR="001D3729">
        <w:t>, t</w:t>
      </w:r>
      <w:r w:rsidR="00A97BF1">
        <w:t xml:space="preserve">his </w:t>
      </w:r>
      <w:r w:rsidR="00CA26C2">
        <w:t>strong</w:t>
      </w:r>
      <w:r w:rsidR="00A97BF1">
        <w:t xml:space="preserve"> fo</w:t>
      </w:r>
      <w:r w:rsidR="004F7D35">
        <w:t xml:space="preserve">rm of post-legislative </w:t>
      </w:r>
      <w:r w:rsidR="00EF5C33">
        <w:t xml:space="preserve">rights </w:t>
      </w:r>
      <w:r w:rsidR="004F7D35">
        <w:t xml:space="preserve">scrutiny </w:t>
      </w:r>
      <w:r w:rsidR="009F73D8">
        <w:t xml:space="preserve">has no equivalent </w:t>
      </w:r>
      <w:r w:rsidR="007C382A">
        <w:t>in</w:t>
      </w:r>
      <w:r w:rsidR="00481074">
        <w:t xml:space="preserve"> comparable Commonwealth jurisdictions. </w:t>
      </w:r>
    </w:p>
    <w:p w14:paraId="5A1E3598" w14:textId="77777777" w:rsidR="00DA4A40" w:rsidRDefault="0040204D" w:rsidP="00A84464">
      <w:r>
        <w:tab/>
      </w:r>
      <w:r w:rsidR="00A242B3">
        <w:t xml:space="preserve">For example, </w:t>
      </w:r>
      <w:r w:rsidR="00C52AFE">
        <w:t xml:space="preserve">the New Zealand </w:t>
      </w:r>
      <w:r w:rsidR="00C52AFE" w:rsidRPr="00D437D7">
        <w:rPr>
          <w:i/>
        </w:rPr>
        <w:t>Bill of Rights Act</w:t>
      </w:r>
      <w:r w:rsidR="00C52AFE">
        <w:rPr>
          <w:i/>
        </w:rPr>
        <w:t>, 1990</w:t>
      </w:r>
      <w:r w:rsidR="00C52AFE">
        <w:t xml:space="preserve"> (“BORA”) </w:t>
      </w:r>
      <w:r w:rsidR="00767A55">
        <w:t xml:space="preserve">explicitly </w:t>
      </w:r>
      <w:r w:rsidR="00F61071">
        <w:t xml:space="preserve">prohibits courts from invalidating or declining to apply a statutory provision </w:t>
      </w:r>
      <w:r w:rsidR="001F5511">
        <w:t>because o</w:t>
      </w:r>
      <w:r w:rsidR="00E10C7B">
        <w:t xml:space="preserve">f </w:t>
      </w:r>
      <w:r w:rsidR="00957240">
        <w:t xml:space="preserve">its incompatibility with a protected right (s. 4). </w:t>
      </w:r>
      <w:r w:rsidR="00FC6940">
        <w:t xml:space="preserve">Like </w:t>
      </w:r>
      <w:r>
        <w:t xml:space="preserve">s. 4.1 of the DOJ Act, s. </w:t>
      </w:r>
      <w:r w:rsidR="003A432A">
        <w:t xml:space="preserve">7 of </w:t>
      </w:r>
      <w:r w:rsidR="00BB188B">
        <w:t xml:space="preserve">the </w:t>
      </w:r>
      <w:r w:rsidR="00483EF3">
        <w:t xml:space="preserve">BORA </w:t>
      </w:r>
      <w:r w:rsidR="002737B0">
        <w:t xml:space="preserve">requires the </w:t>
      </w:r>
      <w:r w:rsidR="00627210">
        <w:t xml:space="preserve">Attorney General </w:t>
      </w:r>
      <w:r w:rsidR="00FB412F">
        <w:t xml:space="preserve">to </w:t>
      </w:r>
      <w:r w:rsidR="00521167">
        <w:t>“</w:t>
      </w:r>
      <w:r w:rsidR="00521167" w:rsidRPr="00521167">
        <w:t xml:space="preserve">bring to the attention of the House of Representatives any provision in </w:t>
      </w:r>
      <w:r w:rsidR="008E251E">
        <w:t xml:space="preserve">[a newly tabled </w:t>
      </w:r>
      <w:r w:rsidR="00521167" w:rsidRPr="00521167">
        <w:t>Bill</w:t>
      </w:r>
      <w:r w:rsidR="008E251E">
        <w:t>]</w:t>
      </w:r>
      <w:r w:rsidR="00521167" w:rsidRPr="00521167">
        <w:t xml:space="preserve"> that appears to be inconsistent with any of the rights and freedoms contained in this Bill of Rights.</w:t>
      </w:r>
      <w:r w:rsidR="00521167">
        <w:t>”</w:t>
      </w:r>
      <w:r w:rsidR="003F36CA">
        <w:t xml:space="preserve"> </w:t>
      </w:r>
      <w:r w:rsidR="00772A64">
        <w:t xml:space="preserve">The Attorney General may also, if he or she chooses, </w:t>
      </w:r>
      <w:r w:rsidR="00F2014F">
        <w:t xml:space="preserve">disclose </w:t>
      </w:r>
      <w:r w:rsidR="00AE6A87">
        <w:t xml:space="preserve">a </w:t>
      </w:r>
      <w:r w:rsidR="00EF6B3E">
        <w:t xml:space="preserve">report </w:t>
      </w:r>
      <w:r w:rsidR="00AE6A87">
        <w:t xml:space="preserve">advising </w:t>
      </w:r>
      <w:r w:rsidR="007D0BF9">
        <w:t xml:space="preserve">that </w:t>
      </w:r>
      <w:r w:rsidR="00EF6B3E">
        <w:t xml:space="preserve">a Bill </w:t>
      </w:r>
      <w:r w:rsidR="00B755D9">
        <w:t xml:space="preserve">raises no rights issues, or </w:t>
      </w:r>
      <w:r w:rsidR="00B169F6">
        <w:t xml:space="preserve">that it </w:t>
      </w:r>
      <w:r w:rsidR="00B755D9">
        <w:t>i</w:t>
      </w:r>
      <w:r w:rsidR="00AD2353">
        <w:t xml:space="preserve">nfringes </w:t>
      </w:r>
      <w:r w:rsidR="00E55AA1">
        <w:t xml:space="preserve">a protected right or freedom but </w:t>
      </w:r>
      <w:r w:rsidR="00EF6B3E">
        <w:t xml:space="preserve">is </w:t>
      </w:r>
      <w:r w:rsidR="00E639AF">
        <w:t xml:space="preserve">justified under s. 5 (the equivalent to </w:t>
      </w:r>
      <w:r w:rsidR="00AD6156">
        <w:t xml:space="preserve">Canada’ </w:t>
      </w:r>
      <w:r w:rsidR="00E639AF">
        <w:t xml:space="preserve">s. 1). </w:t>
      </w:r>
      <w:r w:rsidR="00C60F69">
        <w:t xml:space="preserve">As of </w:t>
      </w:r>
      <w:r w:rsidR="00DE3313">
        <w:t xml:space="preserve">March 2016, 77 </w:t>
      </w:r>
      <w:r w:rsidR="00B73525">
        <w:t>“section 7 reports” had been table</w:t>
      </w:r>
      <w:r w:rsidR="007954BA">
        <w:t>d</w:t>
      </w:r>
      <w:r w:rsidR="00C129AD">
        <w:t xml:space="preserve"> in New Zealand</w:t>
      </w:r>
      <w:r w:rsidR="009E0B9D">
        <w:t>’s</w:t>
      </w:r>
      <w:r w:rsidR="00C129AD">
        <w:t xml:space="preserve"> Parliament. This is a far cry from </w:t>
      </w:r>
      <w:r w:rsidR="00B12019">
        <w:t>Canada</w:t>
      </w:r>
      <w:r w:rsidR="00A72219">
        <w:t>:</w:t>
      </w:r>
      <w:r w:rsidR="0010519B">
        <w:t xml:space="preserve"> according to the CCLA, </w:t>
      </w:r>
      <w:r w:rsidR="00A84464">
        <w:t xml:space="preserve">“not a single report relaying concerns about </w:t>
      </w:r>
      <w:r w:rsidR="00A84464" w:rsidRPr="00042008">
        <w:rPr>
          <w:i/>
        </w:rPr>
        <w:t>Charter</w:t>
      </w:r>
      <w:r w:rsidR="00A84464">
        <w:t xml:space="preserve"> compliance under section 4.1 has ever been made to Parliament”</w:t>
      </w:r>
      <w:r w:rsidR="00717FEF">
        <w:t>.</w:t>
      </w:r>
      <w:r w:rsidR="00EF5662">
        <w:rPr>
          <w:rStyle w:val="EndnoteReference"/>
        </w:rPr>
        <w:endnoteReference w:id="8"/>
      </w:r>
      <w:r w:rsidR="00A84464">
        <w:t xml:space="preserve"> </w:t>
      </w:r>
    </w:p>
    <w:p w14:paraId="53FAE953" w14:textId="2AF95BD0" w:rsidR="00883C1D" w:rsidRDefault="00DA4A40" w:rsidP="00A20160">
      <w:r>
        <w:tab/>
      </w:r>
      <w:r w:rsidR="00722985">
        <w:t xml:space="preserve">In New Zealand, as </w:t>
      </w:r>
      <w:r w:rsidR="00554DFF">
        <w:t xml:space="preserve">Justice </w:t>
      </w:r>
      <w:r w:rsidR="00554DFF" w:rsidRPr="000839CC">
        <w:t>Noël</w:t>
      </w:r>
      <w:r w:rsidR="00554DFF">
        <w:t xml:space="preserve"> </w:t>
      </w:r>
      <w:r w:rsidR="00722985">
        <w:t xml:space="preserve">pointed out, </w:t>
      </w:r>
      <w:r w:rsidR="00017A42">
        <w:t>“</w:t>
      </w:r>
      <w:r w:rsidR="00017A42" w:rsidRPr="00017A42">
        <w:t>pre-legislative processes are commonly the only place where human rights will formally be considered</w:t>
      </w:r>
      <w:r w:rsidR="00017A42">
        <w:t>”</w:t>
      </w:r>
      <w:r w:rsidR="005452DC">
        <w:t>.</w:t>
      </w:r>
      <w:r w:rsidR="005452DC">
        <w:rPr>
          <w:rStyle w:val="EndnoteReference"/>
        </w:rPr>
        <w:endnoteReference w:id="9"/>
      </w:r>
      <w:r w:rsidR="004B3CD6">
        <w:t xml:space="preserve"> </w:t>
      </w:r>
      <w:r w:rsidR="009E37DD">
        <w:t xml:space="preserve">In Canada, </w:t>
      </w:r>
      <w:r w:rsidR="009F0C9C">
        <w:t xml:space="preserve">by contrast, </w:t>
      </w:r>
      <w:r w:rsidR="009E37DD">
        <w:t>“</w:t>
      </w:r>
      <w:r w:rsidR="009E37DD" w:rsidRPr="009E37DD">
        <w:t xml:space="preserve">our constitutionally mandated separation </w:t>
      </w:r>
      <w:r w:rsidR="0029669A">
        <w:t xml:space="preserve">[of powers] </w:t>
      </w:r>
      <w:r w:rsidR="009E37DD" w:rsidRPr="009E37DD">
        <w:t>allows more flexibility to the Executive in regards to guaranteed rights because the Courts are mandated with a larger safeguarding role than in other jurisdictions.</w:t>
      </w:r>
      <w:r w:rsidR="009E37DD">
        <w:t>”</w:t>
      </w:r>
      <w:r w:rsidR="00894FBF">
        <w:rPr>
          <w:rStyle w:val="EndnoteReference"/>
        </w:rPr>
        <w:endnoteReference w:id="10"/>
      </w:r>
      <w:r w:rsidR="00BA6A7C">
        <w:t xml:space="preserve"> </w:t>
      </w:r>
      <w:r w:rsidR="008771EF">
        <w:t>In</w:t>
      </w:r>
      <w:r w:rsidR="000C651A">
        <w:t xml:space="preserve"> other words</w:t>
      </w:r>
      <w:r w:rsidR="008771EF">
        <w:t xml:space="preserve">, strong post-legislative scrutiny </w:t>
      </w:r>
      <w:r w:rsidR="00FB31E2">
        <w:t xml:space="preserve">renders </w:t>
      </w:r>
      <w:r w:rsidR="004F4686">
        <w:t xml:space="preserve">strict </w:t>
      </w:r>
      <w:r w:rsidR="00EB58A2">
        <w:t xml:space="preserve">pre-legislative scrutiny </w:t>
      </w:r>
      <w:r w:rsidR="00122505">
        <w:t xml:space="preserve">less important – and perhaps </w:t>
      </w:r>
      <w:r w:rsidR="00BD4CBF">
        <w:lastRenderedPageBreak/>
        <w:t>less appropriate</w:t>
      </w:r>
      <w:r w:rsidR="00132960">
        <w:t xml:space="preserve"> – than it would be</w:t>
      </w:r>
      <w:r w:rsidR="00EF7FBD">
        <w:t xml:space="preserve"> in the absence of s. 52(1)</w:t>
      </w:r>
      <w:r w:rsidR="00132960">
        <w:t>.</w:t>
      </w:r>
      <w:r w:rsidR="00B67FC3">
        <w:t xml:space="preserve"> </w:t>
      </w:r>
      <w:r w:rsidR="00802C1F">
        <w:t xml:space="preserve">Given this institutional context, </w:t>
      </w:r>
      <w:r w:rsidR="00003EC7">
        <w:t xml:space="preserve">His Honour </w:t>
      </w:r>
      <w:r w:rsidR="00B33410">
        <w:t xml:space="preserve">found that </w:t>
      </w:r>
      <w:r w:rsidR="00B92EDF">
        <w:t xml:space="preserve">s. 4.1 </w:t>
      </w:r>
      <w:r w:rsidR="00071222">
        <w:t>does not require</w:t>
      </w:r>
      <w:r w:rsidR="00B92EDF">
        <w:t xml:space="preserve"> </w:t>
      </w:r>
      <w:r w:rsidR="00FD6F1D">
        <w:t xml:space="preserve">the Attorney General to </w:t>
      </w:r>
      <w:r w:rsidR="00B33410">
        <w:t xml:space="preserve">report </w:t>
      </w:r>
      <w:r w:rsidR="00430C0E">
        <w:t xml:space="preserve">an incompatibility </w:t>
      </w:r>
      <w:r w:rsidR="00B92EDF">
        <w:t xml:space="preserve">to Parliament </w:t>
      </w:r>
      <w:r w:rsidR="00C50BB0">
        <w:t>so</w:t>
      </w:r>
      <w:r w:rsidR="00A86C0C">
        <w:t xml:space="preserve"> long as </w:t>
      </w:r>
      <w:r w:rsidR="00071222">
        <w:t xml:space="preserve">the DOJ can devise </w:t>
      </w:r>
      <w:r w:rsidR="00B92EDF">
        <w:t>“</w:t>
      </w:r>
      <w:r w:rsidR="00B92EDF" w:rsidRPr="00B92EDF">
        <w:t xml:space="preserve">an argument that </w:t>
      </w:r>
      <w:r w:rsidR="00F254C6">
        <w:t>[is]</w:t>
      </w:r>
      <w:r w:rsidR="00B92EDF" w:rsidRPr="00B92EDF">
        <w:t xml:space="preserve"> reasonable, </w:t>
      </w:r>
      <w:r w:rsidR="00B92EDF" w:rsidRPr="00253CEE">
        <w:rPr>
          <w:i/>
        </w:rPr>
        <w:t>bona fide</w:t>
      </w:r>
      <w:r w:rsidR="00B92EDF" w:rsidRPr="00B92EDF">
        <w:t>, and capable of being raised before and accepted by the Courts</w:t>
      </w:r>
      <w:r w:rsidR="00B92EDF">
        <w:t>”</w:t>
      </w:r>
      <w:r w:rsidR="00253CEE">
        <w:t>.</w:t>
      </w:r>
      <w:r w:rsidR="00253CEE">
        <w:rPr>
          <w:rStyle w:val="EndnoteReference"/>
        </w:rPr>
        <w:endnoteReference w:id="11"/>
      </w:r>
      <w:r w:rsidR="00017B1A">
        <w:t xml:space="preserve"> Put another way, </w:t>
      </w:r>
      <w:r w:rsidR="005727F5" w:rsidRPr="005727F5">
        <w:t xml:space="preserve">a credible argument </w:t>
      </w:r>
      <w:r w:rsidR="00017B1A">
        <w:t xml:space="preserve">for </w:t>
      </w:r>
      <w:r w:rsidR="00017B1A" w:rsidRPr="00017B1A">
        <w:rPr>
          <w:i/>
        </w:rPr>
        <w:t>Charter</w:t>
      </w:r>
      <w:r w:rsidR="00017B1A">
        <w:t xml:space="preserve"> compatibility “</w:t>
      </w:r>
      <w:r w:rsidR="005727F5" w:rsidRPr="005727F5">
        <w:t xml:space="preserve">is an argument of a quality such that the Courts could potentially justify the inconsistency pursuant to section 1 of the </w:t>
      </w:r>
      <w:r w:rsidR="005727F5" w:rsidRPr="005727F5">
        <w:rPr>
          <w:i/>
        </w:rPr>
        <w:t>Charter</w:t>
      </w:r>
      <w:r w:rsidR="005727F5" w:rsidRPr="005727F5">
        <w:t>.</w:t>
      </w:r>
      <w:r w:rsidR="005727F5">
        <w:t>”</w:t>
      </w:r>
      <w:r w:rsidR="00C97FC7">
        <w:rPr>
          <w:rStyle w:val="EndnoteReference"/>
        </w:rPr>
        <w:endnoteReference w:id="12"/>
      </w:r>
      <w:r w:rsidR="00D602D4">
        <w:t xml:space="preserve"> </w:t>
      </w:r>
    </w:p>
    <w:p w14:paraId="5BD5FE93" w14:textId="77777777" w:rsidR="001C22B0" w:rsidRDefault="00197C98" w:rsidP="003B4571">
      <w:r>
        <w:tab/>
      </w:r>
      <w:r w:rsidR="00A9226D">
        <w:t xml:space="preserve">His Honour </w:t>
      </w:r>
      <w:r>
        <w:t>concluded tha</w:t>
      </w:r>
      <w:r w:rsidR="00CB45C5">
        <w:t xml:space="preserve">t the </w:t>
      </w:r>
      <w:r w:rsidR="002758B8">
        <w:t xml:space="preserve">“credible argument” standard </w:t>
      </w:r>
      <w:r w:rsidR="00D466F5">
        <w:t>adequately protect</w:t>
      </w:r>
      <w:r w:rsidR="00142F81">
        <w:t>s</w:t>
      </w:r>
      <w:r w:rsidR="00D466F5">
        <w:t xml:space="preserve"> rights and freedoms.</w:t>
      </w:r>
      <w:r w:rsidR="008D5160">
        <w:t xml:space="preserve"> In reaching this </w:t>
      </w:r>
      <w:r w:rsidR="001F534B">
        <w:t xml:space="preserve">conclusion, he relied </w:t>
      </w:r>
      <w:r w:rsidR="006526B8">
        <w:t xml:space="preserve">in part </w:t>
      </w:r>
      <w:r w:rsidR="001F534B">
        <w:t xml:space="preserve">on </w:t>
      </w:r>
      <w:r w:rsidR="009F234D">
        <w:t xml:space="preserve">a statistical analysis </w:t>
      </w:r>
      <w:r w:rsidR="002D5471">
        <w:t xml:space="preserve">of </w:t>
      </w:r>
      <w:r w:rsidR="002D5471" w:rsidRPr="00340479">
        <w:rPr>
          <w:i/>
        </w:rPr>
        <w:t>Charter</w:t>
      </w:r>
      <w:r w:rsidR="002D5471">
        <w:t xml:space="preserve"> jurisprudence submitted by the </w:t>
      </w:r>
      <w:r w:rsidR="001D5286">
        <w:t xml:space="preserve">Attorney General and appended to the </w:t>
      </w:r>
      <w:r w:rsidR="00160CDA">
        <w:t>reasons for judgment</w:t>
      </w:r>
      <w:r w:rsidR="001D5286">
        <w:t xml:space="preserve">. </w:t>
      </w:r>
      <w:r w:rsidR="00EB66F9">
        <w:t xml:space="preserve">The DOJ </w:t>
      </w:r>
      <w:r w:rsidR="006E4FF3">
        <w:t xml:space="preserve">tabulated </w:t>
      </w:r>
      <w:r w:rsidR="00EB66F9">
        <w:t xml:space="preserve">the </w:t>
      </w:r>
      <w:r w:rsidR="00C10C1A">
        <w:t xml:space="preserve">judicial treatment of </w:t>
      </w:r>
      <w:r w:rsidR="009258C0">
        <w:t xml:space="preserve">34 </w:t>
      </w:r>
      <w:r w:rsidR="0062666D">
        <w:t>federal laws</w:t>
      </w:r>
      <w:r w:rsidR="00994469">
        <w:t xml:space="preserve"> subjected to </w:t>
      </w:r>
      <w:r w:rsidR="00994469" w:rsidRPr="009258C0">
        <w:rPr>
          <w:i/>
        </w:rPr>
        <w:t>Charter</w:t>
      </w:r>
      <w:r w:rsidR="00994469">
        <w:t xml:space="preserve"> challenges between 2006 and 2015</w:t>
      </w:r>
      <w:r w:rsidR="00B41554">
        <w:t xml:space="preserve">. </w:t>
      </w:r>
      <w:r w:rsidR="00591A67">
        <w:t xml:space="preserve">In 12 of those </w:t>
      </w:r>
      <w:r w:rsidR="006F14B0">
        <w:t xml:space="preserve">34 </w:t>
      </w:r>
      <w:r w:rsidR="00591A67">
        <w:t xml:space="preserve">cases, the Supreme Court </w:t>
      </w:r>
      <w:r w:rsidR="005770E6">
        <w:t>found u</w:t>
      </w:r>
      <w:r w:rsidR="005B6714">
        <w:t xml:space="preserve">njustified </w:t>
      </w:r>
      <w:r w:rsidR="005770E6">
        <w:t xml:space="preserve">infringements of one or more </w:t>
      </w:r>
      <w:r w:rsidR="005770E6" w:rsidRPr="009B0E13">
        <w:rPr>
          <w:i/>
        </w:rPr>
        <w:t>Charter</w:t>
      </w:r>
      <w:r w:rsidR="005770E6">
        <w:t xml:space="preserve"> </w:t>
      </w:r>
      <w:r w:rsidR="00071E66">
        <w:t>guarantees. E</w:t>
      </w:r>
      <w:r w:rsidR="00007988">
        <w:t xml:space="preserve">ight of </w:t>
      </w:r>
      <w:r w:rsidR="006B2876">
        <w:t xml:space="preserve">those </w:t>
      </w:r>
      <w:r w:rsidR="005D0928">
        <w:t xml:space="preserve">12 </w:t>
      </w:r>
      <w:r w:rsidR="006B2876">
        <w:t xml:space="preserve">rulings were unanimous. </w:t>
      </w:r>
      <w:r w:rsidR="00950DB5">
        <w:t>In f</w:t>
      </w:r>
      <w:r w:rsidR="00071E66">
        <w:t>ive of the eight</w:t>
      </w:r>
      <w:r w:rsidR="00072527">
        <w:t xml:space="preserve"> cases</w:t>
      </w:r>
      <w:r w:rsidR="00981F4C">
        <w:t xml:space="preserve">, </w:t>
      </w:r>
      <w:r w:rsidR="00EE4203">
        <w:t xml:space="preserve">every judge </w:t>
      </w:r>
      <w:r w:rsidR="00886AD4">
        <w:t xml:space="preserve">– </w:t>
      </w:r>
      <w:r w:rsidR="001C1098">
        <w:t xml:space="preserve">at the Superior Court, the Court of Appeal, and the Supreme Court – </w:t>
      </w:r>
      <w:r w:rsidR="00EE4203">
        <w:t xml:space="preserve">agreed </w:t>
      </w:r>
      <w:r w:rsidR="0005526D">
        <w:t xml:space="preserve">that the law violated the </w:t>
      </w:r>
      <w:r w:rsidR="0005526D" w:rsidRPr="00C20E41">
        <w:rPr>
          <w:i/>
        </w:rPr>
        <w:t>Charter</w:t>
      </w:r>
      <w:r w:rsidR="0005526D">
        <w:t xml:space="preserve"> </w:t>
      </w:r>
      <w:r w:rsidR="009A5133">
        <w:t xml:space="preserve">and </w:t>
      </w:r>
      <w:r w:rsidR="00666177">
        <w:t>could not be justified under s. 1.</w:t>
      </w:r>
    </w:p>
    <w:p w14:paraId="3B943D0C" w14:textId="77777777" w:rsidR="0002519D" w:rsidRDefault="001C22B0" w:rsidP="003B4571">
      <w:r>
        <w:tab/>
      </w:r>
      <w:r w:rsidR="00656878">
        <w:t>According to t</w:t>
      </w:r>
      <w:r w:rsidR="00B41554">
        <w:t>he Government</w:t>
      </w:r>
      <w:r w:rsidR="00656878">
        <w:t xml:space="preserve">, these </w:t>
      </w:r>
      <w:r w:rsidR="00B41554">
        <w:t xml:space="preserve">statistics </w:t>
      </w:r>
      <w:r w:rsidR="00656878">
        <w:t xml:space="preserve">show </w:t>
      </w:r>
      <w:r w:rsidR="00B41554">
        <w:t>that “</w:t>
      </w:r>
      <w:r w:rsidR="00B41554" w:rsidRPr="00B41554">
        <w:t>in the majority of cases, a credible argument in favour of consistency was seriously considered by the Court, whether that be in a dissent or in the majority’s analysis.</w:t>
      </w:r>
      <w:r w:rsidR="00B41554">
        <w:t xml:space="preserve">” Even </w:t>
      </w:r>
      <w:r w:rsidR="000E7143">
        <w:t xml:space="preserve">in some cases </w:t>
      </w:r>
      <w:r w:rsidR="00B41554">
        <w:t xml:space="preserve">where the Supreme </w:t>
      </w:r>
      <w:r w:rsidR="00EE588C">
        <w:t xml:space="preserve">Court of Canada ultimately, and unanimously, found the law to be inconsistent with the </w:t>
      </w:r>
      <w:r w:rsidR="00EE588C" w:rsidRPr="008D21A3">
        <w:rPr>
          <w:i/>
        </w:rPr>
        <w:t>Charter</w:t>
      </w:r>
      <w:r w:rsidR="00EE588C">
        <w:t>, “</w:t>
      </w:r>
      <w:r w:rsidR="003B4571">
        <w:t>lower Courts either retained or seriously considered the Defendant’s credible argument</w:t>
      </w:r>
      <w:r w:rsidR="00EE588C">
        <w:t>”</w:t>
      </w:r>
      <w:r w:rsidR="0018309D">
        <w:t>.</w:t>
      </w:r>
      <w:r w:rsidR="00B23C7E">
        <w:rPr>
          <w:rStyle w:val="EndnoteReference"/>
        </w:rPr>
        <w:endnoteReference w:id="13"/>
      </w:r>
      <w:r w:rsidR="00A8097A">
        <w:t xml:space="preserve"> </w:t>
      </w:r>
      <w:r w:rsidR="00931870">
        <w:t xml:space="preserve">Justice </w:t>
      </w:r>
      <w:r w:rsidR="00022384" w:rsidRPr="000839CC">
        <w:t>Noël</w:t>
      </w:r>
      <w:r w:rsidR="00022384">
        <w:t xml:space="preserve"> accepted this </w:t>
      </w:r>
      <w:r w:rsidR="00E27D51">
        <w:t>claim</w:t>
      </w:r>
      <w:r w:rsidR="0002519D">
        <w:t>:</w:t>
      </w:r>
    </w:p>
    <w:p w14:paraId="40F6C190" w14:textId="77777777" w:rsidR="0002519D" w:rsidRDefault="0002519D" w:rsidP="00AA7BDF">
      <w:pPr>
        <w:ind w:left="567" w:right="567"/>
      </w:pPr>
      <w:r w:rsidRPr="0002519D">
        <w:t xml:space="preserve">In the majority of cases where federal legislation was challenged on </w:t>
      </w:r>
      <w:r w:rsidRPr="008D21A3">
        <w:rPr>
          <w:i/>
        </w:rPr>
        <w:t>Charter</w:t>
      </w:r>
      <w:r w:rsidRPr="0002519D">
        <w:t xml:space="preserve"> grounds there were credible arguments in support of the legislation regardless of how those arguments were ultimately treated by the Supreme Court. What matters is that the arguments were taken seriously by the courts and not simply dismissed as frivolous; in other words, they were credible.</w:t>
      </w:r>
      <w:r w:rsidR="000433E3">
        <w:rPr>
          <w:rStyle w:val="EndnoteReference"/>
        </w:rPr>
        <w:endnoteReference w:id="14"/>
      </w:r>
    </w:p>
    <w:p w14:paraId="556C80BC" w14:textId="1C8C2439" w:rsidR="00E163B2" w:rsidRDefault="005A3C83" w:rsidP="003B4571">
      <w:r>
        <w:tab/>
      </w:r>
      <w:r w:rsidR="000D4C12">
        <w:t xml:space="preserve">In my view, </w:t>
      </w:r>
      <w:r w:rsidR="00EF4550">
        <w:t>t</w:t>
      </w:r>
      <w:r w:rsidR="00035B8D">
        <w:t xml:space="preserve">he Government’s statistical analysis </w:t>
      </w:r>
      <w:r w:rsidR="002051DB">
        <w:t xml:space="preserve">is </w:t>
      </w:r>
      <w:r w:rsidR="005B698A">
        <w:t xml:space="preserve">too </w:t>
      </w:r>
      <w:r w:rsidR="002051DB">
        <w:t xml:space="preserve">flawed </w:t>
      </w:r>
      <w:r w:rsidR="005B698A">
        <w:t>to be reliable</w:t>
      </w:r>
      <w:r w:rsidR="00B763B3">
        <w:t xml:space="preserve">. </w:t>
      </w:r>
      <w:r w:rsidR="009E7401">
        <w:t>Here are t</w:t>
      </w:r>
      <w:r w:rsidR="00EA456A">
        <w:t xml:space="preserve">wo </w:t>
      </w:r>
      <w:r w:rsidR="00AF0D86">
        <w:t xml:space="preserve">specific </w:t>
      </w:r>
      <w:r w:rsidR="0062455F">
        <w:t>examples</w:t>
      </w:r>
      <w:r w:rsidR="00BD47F1">
        <w:t xml:space="preserve"> to illustrate the </w:t>
      </w:r>
      <w:r w:rsidR="00651E37">
        <w:t>broader problems</w:t>
      </w:r>
      <w:r w:rsidR="00BD47F1">
        <w:t>.</w:t>
      </w:r>
    </w:p>
    <w:p w14:paraId="3E939AD1" w14:textId="6B0D12BB" w:rsidR="008D21A3" w:rsidRDefault="00B50D9C" w:rsidP="00E163B2">
      <w:pPr>
        <w:pStyle w:val="ListParagraph"/>
        <w:numPr>
          <w:ilvl w:val="0"/>
          <w:numId w:val="2"/>
        </w:numPr>
      </w:pPr>
      <w:r w:rsidRPr="00A40F5A">
        <w:rPr>
          <w:i/>
        </w:rPr>
        <w:t>Carter</w:t>
      </w:r>
      <w:r w:rsidR="004A2CD2">
        <w:rPr>
          <w:rStyle w:val="EndnoteReference"/>
        </w:rPr>
        <w:endnoteReference w:id="15"/>
      </w:r>
      <w:r>
        <w:t xml:space="preserve"> </w:t>
      </w:r>
      <w:r w:rsidR="000D2436">
        <w:t xml:space="preserve">and </w:t>
      </w:r>
      <w:r w:rsidR="000D2436" w:rsidRPr="00B56C52">
        <w:rPr>
          <w:i/>
        </w:rPr>
        <w:t>Bedford</w:t>
      </w:r>
      <w:r w:rsidR="005620E0">
        <w:rPr>
          <w:rStyle w:val="EndnoteReference"/>
        </w:rPr>
        <w:endnoteReference w:id="16"/>
      </w:r>
      <w:r w:rsidR="000D2436">
        <w:t xml:space="preserve"> </w:t>
      </w:r>
      <w:r w:rsidR="00742CE6">
        <w:t>a</w:t>
      </w:r>
      <w:r w:rsidR="000D2436">
        <w:t>re l</w:t>
      </w:r>
      <w:r w:rsidR="00E163B2">
        <w:t xml:space="preserve">isted </w:t>
      </w:r>
      <w:r>
        <w:t xml:space="preserve">among </w:t>
      </w:r>
      <w:r w:rsidR="00185922">
        <w:t xml:space="preserve">the </w:t>
      </w:r>
      <w:r w:rsidR="00795099">
        <w:t xml:space="preserve">12 </w:t>
      </w:r>
      <w:r w:rsidR="00F643E4">
        <w:t xml:space="preserve">defeats for </w:t>
      </w:r>
      <w:r w:rsidR="00BC717C">
        <w:t xml:space="preserve">the </w:t>
      </w:r>
      <w:r w:rsidR="00651E37">
        <w:t>federal g</w:t>
      </w:r>
      <w:r w:rsidR="00BC717C">
        <w:t xml:space="preserve">overnment </w:t>
      </w:r>
      <w:r w:rsidR="00171935">
        <w:t xml:space="preserve">at the Supreme Court. </w:t>
      </w:r>
      <w:r w:rsidR="00205890">
        <w:t xml:space="preserve">In </w:t>
      </w:r>
      <w:r w:rsidR="008C279A">
        <w:t xml:space="preserve">both </w:t>
      </w:r>
      <w:r w:rsidR="000C11FD">
        <w:t>case</w:t>
      </w:r>
      <w:r w:rsidR="008C279A">
        <w:t>s th</w:t>
      </w:r>
      <w:r w:rsidR="00205890">
        <w:t xml:space="preserve">e Court </w:t>
      </w:r>
      <w:r w:rsidR="00857070">
        <w:t xml:space="preserve">declared </w:t>
      </w:r>
      <w:r w:rsidR="006207EC">
        <w:t xml:space="preserve">that certain </w:t>
      </w:r>
      <w:r w:rsidR="002A2FCA">
        <w:t xml:space="preserve">provisions </w:t>
      </w:r>
      <w:r w:rsidR="00857070">
        <w:t xml:space="preserve">of </w:t>
      </w:r>
      <w:r w:rsidR="00205890">
        <w:t xml:space="preserve">the </w:t>
      </w:r>
      <w:r w:rsidR="00857070" w:rsidRPr="00B56C52">
        <w:rPr>
          <w:i/>
        </w:rPr>
        <w:t>Criminal Code</w:t>
      </w:r>
      <w:r w:rsidR="00857070">
        <w:t xml:space="preserve"> </w:t>
      </w:r>
      <w:r w:rsidR="0056220B">
        <w:t xml:space="preserve">conflicted with s. 7 of the </w:t>
      </w:r>
      <w:r w:rsidR="0056220B" w:rsidRPr="004A2CD2">
        <w:rPr>
          <w:i/>
        </w:rPr>
        <w:t>Charter</w:t>
      </w:r>
      <w:r w:rsidR="0056220B">
        <w:t xml:space="preserve"> and could not be justified under s. 1. </w:t>
      </w:r>
      <w:r w:rsidR="00B56C52">
        <w:t>Th</w:t>
      </w:r>
      <w:r w:rsidR="002A2FCA">
        <w:t>os</w:t>
      </w:r>
      <w:r w:rsidR="00B56C52">
        <w:t xml:space="preserve">e </w:t>
      </w:r>
      <w:r w:rsidR="002A2FCA">
        <w:t>p</w:t>
      </w:r>
      <w:r w:rsidR="00C567B9">
        <w:t xml:space="preserve">rovisions </w:t>
      </w:r>
      <w:r w:rsidR="00D577A4">
        <w:t xml:space="preserve">were enacted </w:t>
      </w:r>
      <w:r w:rsidR="00866C03">
        <w:t xml:space="preserve">long before </w:t>
      </w:r>
      <w:r w:rsidR="00C10346">
        <w:t xml:space="preserve">the </w:t>
      </w:r>
      <w:r w:rsidR="00C10346" w:rsidRPr="004A2CD2">
        <w:rPr>
          <w:i/>
        </w:rPr>
        <w:t>Charter</w:t>
      </w:r>
      <w:r w:rsidR="00C10346">
        <w:t xml:space="preserve"> </w:t>
      </w:r>
      <w:r w:rsidR="00D237C9">
        <w:t xml:space="preserve">or </w:t>
      </w:r>
      <w:r w:rsidR="00C10346">
        <w:t xml:space="preserve">s. 4.1 of the </w:t>
      </w:r>
      <w:r w:rsidR="00C10346" w:rsidRPr="002B2EC8">
        <w:rPr>
          <w:i/>
        </w:rPr>
        <w:t>Act</w:t>
      </w:r>
      <w:r w:rsidR="007333B7">
        <w:t>,</w:t>
      </w:r>
      <w:r w:rsidR="00C10346">
        <w:t xml:space="preserve"> </w:t>
      </w:r>
      <w:r w:rsidR="007333B7">
        <w:t>so t</w:t>
      </w:r>
      <w:r w:rsidR="00434B2F">
        <w:t>he</w:t>
      </w:r>
      <w:r w:rsidR="00724732">
        <w:t xml:space="preserve">ir judicial treatment </w:t>
      </w:r>
      <w:r w:rsidR="00434B2F">
        <w:t>tell</w:t>
      </w:r>
      <w:r w:rsidR="00724732">
        <w:t>s</w:t>
      </w:r>
      <w:r w:rsidR="00434B2F">
        <w:t xml:space="preserve"> us nothing about </w:t>
      </w:r>
      <w:r w:rsidR="00434B2F" w:rsidRPr="00E5195E">
        <w:rPr>
          <w:i/>
        </w:rPr>
        <w:t>Charter</w:t>
      </w:r>
      <w:r w:rsidR="00434B2F">
        <w:t xml:space="preserve"> risk analysis. </w:t>
      </w:r>
      <w:r w:rsidR="0004305F">
        <w:t xml:space="preserve">Yet the </w:t>
      </w:r>
      <w:r w:rsidR="001E406E">
        <w:t xml:space="preserve">Government </w:t>
      </w:r>
      <w:r w:rsidR="00B26EC1">
        <w:t>lump</w:t>
      </w:r>
      <w:r w:rsidR="00C01981">
        <w:t>ed</w:t>
      </w:r>
      <w:r w:rsidR="00B26EC1">
        <w:t xml:space="preserve"> </w:t>
      </w:r>
      <w:r w:rsidR="00B26EC1" w:rsidRPr="004A2CD2">
        <w:rPr>
          <w:i/>
        </w:rPr>
        <w:t>Carter</w:t>
      </w:r>
      <w:r w:rsidR="00B26EC1">
        <w:t xml:space="preserve"> </w:t>
      </w:r>
      <w:r w:rsidR="00227321">
        <w:t xml:space="preserve">and </w:t>
      </w:r>
      <w:r w:rsidR="00227321" w:rsidRPr="006B0DCB">
        <w:rPr>
          <w:i/>
        </w:rPr>
        <w:t>Bedford</w:t>
      </w:r>
      <w:r w:rsidR="00227321">
        <w:t xml:space="preserve"> together </w:t>
      </w:r>
      <w:r w:rsidR="00B26EC1">
        <w:t xml:space="preserve">with </w:t>
      </w:r>
      <w:r w:rsidR="00227321">
        <w:t xml:space="preserve">successful </w:t>
      </w:r>
      <w:r w:rsidR="007A249A">
        <w:t xml:space="preserve">challenges to laws that were adopted </w:t>
      </w:r>
      <w:r w:rsidR="00007872">
        <w:t>post-</w:t>
      </w:r>
      <w:r w:rsidR="00007872" w:rsidRPr="00A40F5A">
        <w:rPr>
          <w:i/>
        </w:rPr>
        <w:t>Charter</w:t>
      </w:r>
      <w:r w:rsidR="00007872">
        <w:t xml:space="preserve"> and, presumably, subjected to the </w:t>
      </w:r>
      <w:r w:rsidR="00D05A75">
        <w:t xml:space="preserve">internal vetting process adopted by the </w:t>
      </w:r>
      <w:r w:rsidR="00387E61">
        <w:t>DOJ in the early 1980s.</w:t>
      </w:r>
      <w:r w:rsidR="007956BA">
        <w:rPr>
          <w:rStyle w:val="EndnoteReference"/>
        </w:rPr>
        <w:endnoteReference w:id="17"/>
      </w:r>
      <w:r w:rsidR="00A40F5A">
        <w:t xml:space="preserve"> This </w:t>
      </w:r>
      <w:r w:rsidR="00612DDA">
        <w:t>is a</w:t>
      </w:r>
      <w:r w:rsidR="001E0621">
        <w:t xml:space="preserve">n obvious </w:t>
      </w:r>
      <w:r w:rsidR="00A40F5A">
        <w:t>apples-and-o</w:t>
      </w:r>
      <w:r w:rsidR="001E0621">
        <w:t>ranges mistake</w:t>
      </w:r>
      <w:r w:rsidR="00061612">
        <w:t>,</w:t>
      </w:r>
      <w:r w:rsidR="001E0621">
        <w:t xml:space="preserve"> which </w:t>
      </w:r>
      <w:r w:rsidR="00182DC6">
        <w:t xml:space="preserve">raises </w:t>
      </w:r>
      <w:r w:rsidR="00BC0C6A">
        <w:t xml:space="preserve">doubts </w:t>
      </w:r>
      <w:r w:rsidR="00182DC6">
        <w:t>about</w:t>
      </w:r>
      <w:r w:rsidR="003D4C65">
        <w:t xml:space="preserve"> </w:t>
      </w:r>
      <w:r w:rsidR="001E0621">
        <w:t>the entire analysis.</w:t>
      </w:r>
      <w:r w:rsidR="00061612">
        <w:rPr>
          <w:rStyle w:val="EndnoteReference"/>
        </w:rPr>
        <w:endnoteReference w:id="18"/>
      </w:r>
    </w:p>
    <w:p w14:paraId="3FA71AB1" w14:textId="77777777" w:rsidR="00612DDA" w:rsidRDefault="00612DDA" w:rsidP="00612DDA">
      <w:pPr>
        <w:pStyle w:val="ListParagraph"/>
      </w:pPr>
    </w:p>
    <w:p w14:paraId="08B7DF2E" w14:textId="2E860D78" w:rsidR="00A40F5A" w:rsidRDefault="001C0CD6" w:rsidP="00D602D4">
      <w:pPr>
        <w:pStyle w:val="ListParagraph"/>
        <w:numPr>
          <w:ilvl w:val="0"/>
          <w:numId w:val="2"/>
        </w:numPr>
      </w:pPr>
      <w:r>
        <w:t xml:space="preserve">The </w:t>
      </w:r>
      <w:r w:rsidR="000C6E36">
        <w:t xml:space="preserve">assumption that </w:t>
      </w:r>
      <w:r w:rsidR="00D21C40">
        <w:t>ever</w:t>
      </w:r>
      <w:r w:rsidR="00A10CCD">
        <w:t>y</w:t>
      </w:r>
      <w:r w:rsidR="003D7BFD">
        <w:t xml:space="preserve"> difference of opinion between two judges</w:t>
      </w:r>
      <w:r w:rsidR="00C26557">
        <w:t>, or two levels of court,</w:t>
      </w:r>
      <w:r w:rsidR="003D7BFD">
        <w:t xml:space="preserve"> </w:t>
      </w:r>
      <w:r w:rsidR="008C7E68">
        <w:t xml:space="preserve">tells us something </w:t>
      </w:r>
      <w:r w:rsidR="00AD054E">
        <w:t xml:space="preserve">about </w:t>
      </w:r>
      <w:r w:rsidR="00696C5A" w:rsidRPr="00DF2F87">
        <w:rPr>
          <w:i/>
        </w:rPr>
        <w:t>Charter</w:t>
      </w:r>
      <w:r w:rsidR="00696C5A">
        <w:t xml:space="preserve"> compatibility</w:t>
      </w:r>
      <w:r w:rsidR="000C6E36">
        <w:t xml:space="preserve"> is </w:t>
      </w:r>
      <w:r w:rsidR="00D21C40">
        <w:t>dubious</w:t>
      </w:r>
      <w:r w:rsidR="00116E9E">
        <w:t xml:space="preserve">. </w:t>
      </w:r>
      <w:r w:rsidR="00BB4665">
        <w:t xml:space="preserve">The </w:t>
      </w:r>
      <w:r w:rsidR="0071070F">
        <w:t xml:space="preserve">majority at the </w:t>
      </w:r>
      <w:r w:rsidR="00BB4665">
        <w:t xml:space="preserve">BC Court of Appeal </w:t>
      </w:r>
      <w:r w:rsidR="00B33132">
        <w:t xml:space="preserve">reversed the trial judge </w:t>
      </w:r>
      <w:r w:rsidR="00BB4665">
        <w:t xml:space="preserve">in </w:t>
      </w:r>
      <w:r w:rsidR="00BB4665" w:rsidRPr="00C30A18">
        <w:rPr>
          <w:i/>
        </w:rPr>
        <w:t>Carter</w:t>
      </w:r>
      <w:r w:rsidR="00BB4665">
        <w:t xml:space="preserve"> </w:t>
      </w:r>
      <w:r w:rsidR="00165D57">
        <w:t>on the basis of</w:t>
      </w:r>
      <w:r w:rsidR="005240F2">
        <w:t xml:space="preserve"> </w:t>
      </w:r>
      <w:r w:rsidR="005240F2" w:rsidRPr="00C30A18">
        <w:rPr>
          <w:i/>
        </w:rPr>
        <w:t>Rodriguez</w:t>
      </w:r>
      <w:r w:rsidR="005240F2">
        <w:rPr>
          <w:rStyle w:val="EndnoteReference"/>
        </w:rPr>
        <w:endnoteReference w:id="19"/>
      </w:r>
      <w:r w:rsidR="005240F2">
        <w:t xml:space="preserve"> and</w:t>
      </w:r>
      <w:r w:rsidR="00165D57">
        <w:t xml:space="preserve"> </w:t>
      </w:r>
      <w:r w:rsidR="00247793" w:rsidRPr="00C30A18">
        <w:rPr>
          <w:i/>
        </w:rPr>
        <w:t>stare decisis</w:t>
      </w:r>
      <w:r w:rsidR="00B54A55">
        <w:t xml:space="preserve">, not </w:t>
      </w:r>
      <w:r w:rsidR="006C3B59">
        <w:t>the merits of the Government’s s. 7 defense.</w:t>
      </w:r>
      <w:r w:rsidR="0055450A">
        <w:rPr>
          <w:rStyle w:val="EndnoteReference"/>
        </w:rPr>
        <w:endnoteReference w:id="20"/>
      </w:r>
      <w:r w:rsidR="006C3B59">
        <w:t xml:space="preserve"> </w:t>
      </w:r>
      <w:r w:rsidR="005544CF">
        <w:t xml:space="preserve">The </w:t>
      </w:r>
      <w:r w:rsidR="00534205">
        <w:t xml:space="preserve">Supreme Court </w:t>
      </w:r>
      <w:r w:rsidR="008D7332">
        <w:t xml:space="preserve">dissent in </w:t>
      </w:r>
      <w:proofErr w:type="spellStart"/>
      <w:r w:rsidR="008D7332" w:rsidRPr="00C614F5">
        <w:rPr>
          <w:i/>
        </w:rPr>
        <w:t>Nur</w:t>
      </w:r>
      <w:proofErr w:type="spellEnd"/>
      <w:r w:rsidR="008D7332">
        <w:t xml:space="preserve"> </w:t>
      </w:r>
      <w:r w:rsidR="00534205">
        <w:t xml:space="preserve">reflected </w:t>
      </w:r>
      <w:r w:rsidR="00022819">
        <w:t>disagreemen</w:t>
      </w:r>
      <w:r w:rsidR="00644641">
        <w:t>t</w:t>
      </w:r>
      <w:r w:rsidR="00534205">
        <w:t>s</w:t>
      </w:r>
      <w:r w:rsidR="00644641">
        <w:t xml:space="preserve"> over the </w:t>
      </w:r>
      <w:r w:rsidR="00DF2F87">
        <w:t xml:space="preserve">judicial </w:t>
      </w:r>
      <w:r w:rsidR="00644641">
        <w:t>use of hypotheticals in s. 12 cases and the proper degree of deference to Parliament</w:t>
      </w:r>
      <w:r w:rsidR="00C30A18">
        <w:t xml:space="preserve">: “it is not for this Court to frustrate the policy goals of our elected </w:t>
      </w:r>
      <w:r w:rsidR="00C30A18">
        <w:lastRenderedPageBreak/>
        <w:t>representatives based on questionable assumptions or loose conjecture.”</w:t>
      </w:r>
      <w:r w:rsidR="00691A32">
        <w:rPr>
          <w:rStyle w:val="EndnoteReference"/>
        </w:rPr>
        <w:endnoteReference w:id="21"/>
      </w:r>
      <w:r w:rsidR="00C614F5">
        <w:t xml:space="preserve"> While the </w:t>
      </w:r>
      <w:proofErr w:type="spellStart"/>
      <w:r w:rsidR="00AD6E8C" w:rsidRPr="00AD6E8C">
        <w:rPr>
          <w:i/>
        </w:rPr>
        <w:t>Nur</w:t>
      </w:r>
      <w:proofErr w:type="spellEnd"/>
      <w:r w:rsidR="00AD6E8C">
        <w:t xml:space="preserve"> </w:t>
      </w:r>
      <w:r w:rsidR="00823767">
        <w:t>minority</w:t>
      </w:r>
      <w:r w:rsidR="00C614F5">
        <w:t xml:space="preserve"> may have </w:t>
      </w:r>
      <w:r w:rsidR="00484550">
        <w:t xml:space="preserve">considered the Government’s submissions </w:t>
      </w:r>
      <w:r w:rsidR="000E15DF">
        <w:t xml:space="preserve">on the impugned law </w:t>
      </w:r>
      <w:r w:rsidR="00484550">
        <w:t xml:space="preserve">to be </w:t>
      </w:r>
      <w:r w:rsidR="00FD777A">
        <w:t xml:space="preserve">“credible”, or at least non-frivolous, </w:t>
      </w:r>
      <w:r w:rsidR="008A27F4">
        <w:t>this</w:t>
      </w:r>
      <w:r w:rsidR="00823767">
        <w:t xml:space="preserve"> do</w:t>
      </w:r>
      <w:r w:rsidR="008A27F4">
        <w:t>es</w:t>
      </w:r>
      <w:r w:rsidR="00823767">
        <w:t xml:space="preserve"> not appear to have prompted</w:t>
      </w:r>
      <w:r w:rsidR="002770BC">
        <w:t xml:space="preserve"> their dissent</w:t>
      </w:r>
      <w:r w:rsidR="00823767">
        <w:t>.</w:t>
      </w:r>
    </w:p>
    <w:p w14:paraId="10F9AA40" w14:textId="2E1D3F0A" w:rsidR="0080768C" w:rsidRDefault="00E30509" w:rsidP="003B4571">
      <w:r>
        <w:t>Leaving aside the</w:t>
      </w:r>
      <w:r w:rsidR="0080768C">
        <w:t xml:space="preserve"> statistic</w:t>
      </w:r>
      <w:r>
        <w:t>al errors,</w:t>
      </w:r>
      <w:r w:rsidR="0080768C">
        <w:t xml:space="preserve"> </w:t>
      </w:r>
      <w:r w:rsidR="00D964A9">
        <w:t>the</w:t>
      </w:r>
      <w:r w:rsidR="00F45ED1">
        <w:t xml:space="preserve"> Government acknowledge</w:t>
      </w:r>
      <w:r w:rsidR="00C01981">
        <w:t>d</w:t>
      </w:r>
      <w:r w:rsidR="00F45ED1">
        <w:t xml:space="preserve"> that </w:t>
      </w:r>
      <w:r w:rsidR="00A758D6">
        <w:t xml:space="preserve">in </w:t>
      </w:r>
      <w:r w:rsidR="00D964A9">
        <w:t xml:space="preserve">nearly one in seven </w:t>
      </w:r>
      <w:r w:rsidR="00A758D6">
        <w:t>cases</w:t>
      </w:r>
      <w:r w:rsidR="00C01981">
        <w:t>,</w:t>
      </w:r>
      <w:r w:rsidR="00A758D6">
        <w:t xml:space="preserve"> </w:t>
      </w:r>
      <w:r w:rsidR="00F45ED1">
        <w:t xml:space="preserve">it </w:t>
      </w:r>
      <w:r w:rsidR="009C15DE">
        <w:t xml:space="preserve">failed to </w:t>
      </w:r>
      <w:r w:rsidR="00625D8E">
        <w:t xml:space="preserve">convince </w:t>
      </w:r>
      <w:r w:rsidR="00F37A71">
        <w:t xml:space="preserve">a single judge </w:t>
      </w:r>
      <w:r w:rsidR="009C15DE">
        <w:t xml:space="preserve">that </w:t>
      </w:r>
      <w:r w:rsidR="00005245">
        <w:t>a</w:t>
      </w:r>
      <w:r w:rsidR="00BC4519">
        <w:t xml:space="preserve"> law </w:t>
      </w:r>
      <w:r w:rsidR="0082550D">
        <w:t xml:space="preserve">was more likely to be constitutionally </w:t>
      </w:r>
      <w:r w:rsidR="0003297B">
        <w:t xml:space="preserve">valid than </w:t>
      </w:r>
      <w:r w:rsidR="002A75BC">
        <w:t>not</w:t>
      </w:r>
      <w:r w:rsidR="0003297B">
        <w:t xml:space="preserve">. </w:t>
      </w:r>
      <w:r w:rsidR="00383C0C">
        <w:t xml:space="preserve">This is not </w:t>
      </w:r>
      <w:r w:rsidR="001A0C75">
        <w:t xml:space="preserve">a </w:t>
      </w:r>
      <w:r w:rsidR="00383C0C">
        <w:t>ringing endorsement of “</w:t>
      </w:r>
      <w:r w:rsidR="00383C0C" w:rsidRPr="001A0C75">
        <w:rPr>
          <w:i/>
        </w:rPr>
        <w:t>Charter</w:t>
      </w:r>
      <w:r w:rsidR="00383C0C">
        <w:t xml:space="preserve"> risk analysis”</w:t>
      </w:r>
      <w:r w:rsidR="00F163E7">
        <w:t xml:space="preserve"> based on a “credible argument”</w:t>
      </w:r>
      <w:r w:rsidR="00383C0C">
        <w:t>.</w:t>
      </w:r>
    </w:p>
    <w:p w14:paraId="5505181D" w14:textId="4E0A6D8F" w:rsidR="00E11846" w:rsidRDefault="00622B7D" w:rsidP="003B4571">
      <w:r>
        <w:tab/>
      </w:r>
      <w:r w:rsidR="00557E02">
        <w:t>J</w:t>
      </w:r>
      <w:r>
        <w:t xml:space="preserve">ustice </w:t>
      </w:r>
      <w:r w:rsidR="00010F21" w:rsidRPr="000839CC">
        <w:t>Noël</w:t>
      </w:r>
      <w:r w:rsidR="00513466">
        <w:t xml:space="preserve"> also seems to have accepted </w:t>
      </w:r>
      <w:r w:rsidR="00F92CF9">
        <w:t xml:space="preserve">another questionable </w:t>
      </w:r>
      <w:r w:rsidR="00557E02">
        <w:t>assumption</w:t>
      </w:r>
      <w:r w:rsidR="00F92CF9">
        <w:t>:</w:t>
      </w:r>
      <w:r w:rsidR="00557E02">
        <w:t xml:space="preserve"> that </w:t>
      </w:r>
      <w:r w:rsidR="00F92CF9">
        <w:t>“</w:t>
      </w:r>
      <w:r w:rsidR="00244EE3" w:rsidRPr="00244EE3">
        <w:t xml:space="preserve">Governments, for political reasons, do not want to be seen as actively promoting breaches to </w:t>
      </w:r>
      <w:r w:rsidR="00CC657D">
        <w:t>g</w:t>
      </w:r>
      <w:r w:rsidR="00244EE3" w:rsidRPr="00244EE3">
        <w:t>uaranteed rights.</w:t>
      </w:r>
      <w:r w:rsidR="00F92CF9">
        <w:t>”</w:t>
      </w:r>
      <w:r w:rsidR="008D6C8C">
        <w:rPr>
          <w:rStyle w:val="EndnoteReference"/>
        </w:rPr>
        <w:endnoteReference w:id="22"/>
      </w:r>
      <w:r w:rsidR="00892AA1">
        <w:t xml:space="preserve"> This is </w:t>
      </w:r>
      <w:r w:rsidR="006B0C6A">
        <w:t>likely true of</w:t>
      </w:r>
      <w:r w:rsidR="00915AC4">
        <w:t xml:space="preserve"> most Canadian governments, </w:t>
      </w:r>
      <w:r w:rsidR="006A0DD9">
        <w:t xml:space="preserve">but </w:t>
      </w:r>
      <w:r w:rsidR="00C14E02">
        <w:t>not all</w:t>
      </w:r>
      <w:r w:rsidR="00D132C1">
        <w:t xml:space="preserve">. </w:t>
      </w:r>
      <w:r w:rsidR="00AA38B4">
        <w:t xml:space="preserve">Depending on the nature of its electoral “base”, </w:t>
      </w:r>
      <w:r w:rsidR="00455CC5">
        <w:t xml:space="preserve">a federal Cabinet </w:t>
      </w:r>
      <w:r w:rsidR="005A07A9">
        <w:t xml:space="preserve">may </w:t>
      </w:r>
      <w:r w:rsidR="00701249">
        <w:t xml:space="preserve">have </w:t>
      </w:r>
      <w:r w:rsidR="005A07A9">
        <w:t xml:space="preserve">political reasons </w:t>
      </w:r>
      <w:r w:rsidR="00455CC5">
        <w:t xml:space="preserve">to </w:t>
      </w:r>
      <w:r w:rsidR="00C5580D">
        <w:t xml:space="preserve">ignore the DOJ’s advice </w:t>
      </w:r>
      <w:r w:rsidR="00D45D1C">
        <w:t xml:space="preserve">and </w:t>
      </w:r>
      <w:r w:rsidR="00B34C2A">
        <w:t>proceed w</w:t>
      </w:r>
      <w:r w:rsidR="00EB3A4C">
        <w:t xml:space="preserve">ith a draft Bill that </w:t>
      </w:r>
      <w:r w:rsidR="007D141E">
        <w:t xml:space="preserve">cannot survive a </w:t>
      </w:r>
      <w:r w:rsidR="007D141E" w:rsidRPr="005059E2">
        <w:rPr>
          <w:i/>
        </w:rPr>
        <w:t>Charter</w:t>
      </w:r>
      <w:r w:rsidR="007D141E">
        <w:t xml:space="preserve"> challenge. </w:t>
      </w:r>
      <w:r w:rsidR="008B6F41">
        <w:t xml:space="preserve">Justice </w:t>
      </w:r>
      <w:r w:rsidR="008B6F41" w:rsidRPr="000839CC">
        <w:t>Noël</w:t>
      </w:r>
      <w:r w:rsidR="008B6F41">
        <w:t>’s ultimate</w:t>
      </w:r>
      <w:r w:rsidR="00EE4B3C">
        <w:t>ly</w:t>
      </w:r>
      <w:r w:rsidR="008B6F41">
        <w:t xml:space="preserve"> conclu</w:t>
      </w:r>
      <w:r w:rsidR="00EE4B3C">
        <w:t>des</w:t>
      </w:r>
      <w:r w:rsidR="00685184">
        <w:t>: “</w:t>
      </w:r>
      <w:r w:rsidR="00557E02" w:rsidRPr="009F2377">
        <w:t>The examination process, as it is set up, is such that prior to the reporting obligation step, any problematic issue relating to guaranteed rights will have been addressed.</w:t>
      </w:r>
      <w:r w:rsidR="00685184">
        <w:t>”</w:t>
      </w:r>
      <w:r w:rsidR="00685184">
        <w:rPr>
          <w:rStyle w:val="EndnoteReference"/>
        </w:rPr>
        <w:endnoteReference w:id="23"/>
      </w:r>
      <w:r w:rsidR="00915AC4">
        <w:t xml:space="preserve"> </w:t>
      </w:r>
      <w:r w:rsidR="00EE4B3C">
        <w:t xml:space="preserve"> Given that political pandering happens and </w:t>
      </w:r>
      <w:r w:rsidR="00EE4B3C" w:rsidRPr="00F81F70">
        <w:rPr>
          <w:i/>
        </w:rPr>
        <w:t>male fides</w:t>
      </w:r>
      <w:r w:rsidR="00EE4B3C">
        <w:t xml:space="preserve"> exists, this conclusion seems naïve. </w:t>
      </w:r>
    </w:p>
    <w:p w14:paraId="3F7AF996" w14:textId="77777777" w:rsidR="00A20160" w:rsidRDefault="00A20160" w:rsidP="003B4571"/>
    <w:p w14:paraId="6BC5BC4B" w14:textId="77777777" w:rsidR="0023314B" w:rsidRDefault="0023314B">
      <w:r>
        <w:t xml:space="preserve">III. </w:t>
      </w:r>
      <w:r w:rsidR="00A253DC">
        <w:rPr>
          <w:u w:val="single"/>
        </w:rPr>
        <w:t>Violating the Constitution to Defend the Constitution</w:t>
      </w:r>
      <w:r w:rsidR="00E54E8A" w:rsidRPr="00EB6F2E">
        <w:rPr>
          <w:u w:val="single"/>
        </w:rPr>
        <w:t>?</w:t>
      </w:r>
    </w:p>
    <w:p w14:paraId="1BD56A0E" w14:textId="77777777" w:rsidR="001A6EB0" w:rsidRDefault="001A6EB0" w:rsidP="008A5DA9">
      <w:pPr>
        <w:pStyle w:val="Header"/>
        <w:tabs>
          <w:tab w:val="clear" w:pos="4680"/>
          <w:tab w:val="clear" w:pos="9360"/>
        </w:tabs>
        <w:spacing w:after="160" w:line="259" w:lineRule="auto"/>
      </w:pPr>
    </w:p>
    <w:p w14:paraId="19D701AD" w14:textId="426ED676" w:rsidR="00C80581" w:rsidRPr="00725C0A" w:rsidRDefault="00330EC9" w:rsidP="00562B15">
      <w:pPr>
        <w:rPr>
          <w:b/>
          <w:u w:val="single"/>
        </w:rPr>
      </w:pPr>
      <w:r>
        <w:tab/>
      </w:r>
      <w:r w:rsidR="00411484">
        <w:t xml:space="preserve">As </w:t>
      </w:r>
      <w:r w:rsidR="00A275B8">
        <w:t>previously explained</w:t>
      </w:r>
      <w:r w:rsidR="00411484">
        <w:t xml:space="preserve">, the </w:t>
      </w:r>
      <w:r w:rsidR="00674DE8">
        <w:t xml:space="preserve">CCLA </w:t>
      </w:r>
      <w:r w:rsidR="009732EC">
        <w:t xml:space="preserve">would require </w:t>
      </w:r>
      <w:r w:rsidR="007D6BB8">
        <w:t xml:space="preserve">the Minister of Justice to attach “a detailed statement of </w:t>
      </w:r>
      <w:r w:rsidR="007D6BB8" w:rsidRPr="004D0BDB">
        <w:rPr>
          <w:i/>
        </w:rPr>
        <w:t>Charter</w:t>
      </w:r>
      <w:r w:rsidR="007D6BB8">
        <w:t xml:space="preserve"> compatibility” to every Government Bill</w:t>
      </w:r>
      <w:r w:rsidR="00B206AE">
        <w:t>.</w:t>
      </w:r>
      <w:r w:rsidR="007D6BB8">
        <w:t xml:space="preserve"> </w:t>
      </w:r>
      <w:r w:rsidR="00411484">
        <w:t>The “</w:t>
      </w:r>
      <w:r w:rsidR="00411484" w:rsidRPr="00EA0499">
        <w:t>Charter</w:t>
      </w:r>
      <w:r w:rsidR="00411484">
        <w:t xml:space="preserve"> First” </w:t>
      </w:r>
      <w:r w:rsidR="00674DE8">
        <w:t>Report asserts, without substantiation, that “governments would maintain the ability to develop legislation confidentially, and benefit from legal advice subject to solicitor-client privilege”.</w:t>
      </w:r>
      <w:r w:rsidR="00791E3E">
        <w:rPr>
          <w:rStyle w:val="EndnoteReference"/>
        </w:rPr>
        <w:endnoteReference w:id="24"/>
      </w:r>
      <w:r w:rsidR="00674DE8">
        <w:t xml:space="preserve"> </w:t>
      </w:r>
      <w:r w:rsidR="0009104E">
        <w:t xml:space="preserve">This is a </w:t>
      </w:r>
      <w:r w:rsidR="00B8269B">
        <w:t>puzzling claim</w:t>
      </w:r>
      <w:r w:rsidR="0009104E">
        <w:t xml:space="preserve">. </w:t>
      </w:r>
      <w:r w:rsidR="002A79AB">
        <w:t xml:space="preserve">By </w:t>
      </w:r>
      <w:r w:rsidR="004316B8">
        <w:t xml:space="preserve">virtue of </w:t>
      </w:r>
      <w:r w:rsidR="00F16578">
        <w:t xml:space="preserve">the separation of powers in our constitution, as reflected in </w:t>
      </w:r>
      <w:r w:rsidR="004316B8">
        <w:t xml:space="preserve">sections </w:t>
      </w:r>
      <w:r w:rsidR="002A79AB">
        <w:t>4</w:t>
      </w:r>
      <w:r w:rsidR="002D2F9D">
        <w:t xml:space="preserve"> </w:t>
      </w:r>
      <w:r w:rsidR="004316B8">
        <w:t xml:space="preserve">and 5 </w:t>
      </w:r>
      <w:r w:rsidR="002D2F9D">
        <w:t xml:space="preserve">of the </w:t>
      </w:r>
      <w:r w:rsidR="002D2F9D" w:rsidRPr="00A23DE0">
        <w:rPr>
          <w:i/>
        </w:rPr>
        <w:t>Act</w:t>
      </w:r>
      <w:r w:rsidR="002D2F9D">
        <w:t xml:space="preserve">, </w:t>
      </w:r>
      <w:r w:rsidR="00395BB8">
        <w:t>t</w:t>
      </w:r>
      <w:r w:rsidR="00BA05E5">
        <w:t>he federal Cabi</w:t>
      </w:r>
      <w:r w:rsidR="00DD116B">
        <w:t>net</w:t>
      </w:r>
      <w:r w:rsidR="00E44C09">
        <w:t xml:space="preserve"> is </w:t>
      </w:r>
      <w:r w:rsidR="00DD116B">
        <w:t xml:space="preserve">the </w:t>
      </w:r>
      <w:r w:rsidR="00A916F7">
        <w:t xml:space="preserve">client of the </w:t>
      </w:r>
      <w:r w:rsidR="002A79AB">
        <w:t xml:space="preserve">Minister of Justice </w:t>
      </w:r>
      <w:r w:rsidR="00395BB8">
        <w:t xml:space="preserve">and </w:t>
      </w:r>
      <w:r w:rsidR="00ED6E7B">
        <w:t>Attorney General</w:t>
      </w:r>
      <w:r w:rsidR="00F33DAC">
        <w:t xml:space="preserve">. </w:t>
      </w:r>
      <w:r w:rsidR="00F16578">
        <w:t>Parliament is not the client of the DOJ; each chamber has its own legal counsel</w:t>
      </w:r>
      <w:r w:rsidR="00216E55">
        <w:t xml:space="preserve">, whose advice </w:t>
      </w:r>
      <w:r w:rsidR="00AC0D78">
        <w:t>to MPs or Senators is also privileged</w:t>
      </w:r>
      <w:r w:rsidR="00F16578">
        <w:t xml:space="preserve">. </w:t>
      </w:r>
      <w:r w:rsidR="00D75D20">
        <w:t>It follows that</w:t>
      </w:r>
      <w:r w:rsidR="00903CDE">
        <w:t xml:space="preserve"> </w:t>
      </w:r>
      <w:r w:rsidR="00370F7F">
        <w:t xml:space="preserve">the Cabinet </w:t>
      </w:r>
      <w:r w:rsidR="001C0DF4">
        <w:t xml:space="preserve">can </w:t>
      </w:r>
      <w:r w:rsidR="00117ADD">
        <w:t xml:space="preserve">choose to </w:t>
      </w:r>
      <w:r w:rsidR="001C0DF4">
        <w:t xml:space="preserve">waive </w:t>
      </w:r>
      <w:r w:rsidR="00014D10">
        <w:t xml:space="preserve">solicitor-client privilege </w:t>
      </w:r>
      <w:r w:rsidR="001847BF">
        <w:t xml:space="preserve">in DOJ advice </w:t>
      </w:r>
      <w:r w:rsidR="00F33DAC">
        <w:t xml:space="preserve">– </w:t>
      </w:r>
      <w:r w:rsidR="00B40998">
        <w:t xml:space="preserve">as the Trudeau Government did </w:t>
      </w:r>
      <w:r w:rsidR="00CF616B">
        <w:t xml:space="preserve">when it disclosed its </w:t>
      </w:r>
      <w:r w:rsidR="00CF616B" w:rsidRPr="005B623F">
        <w:rPr>
          <w:i/>
        </w:rPr>
        <w:t>Charter</w:t>
      </w:r>
      <w:r w:rsidR="00CF616B">
        <w:t xml:space="preserve"> analyses of </w:t>
      </w:r>
      <w:r w:rsidR="00100A68">
        <w:t xml:space="preserve">Bill C-14. </w:t>
      </w:r>
      <w:r w:rsidR="005B623F">
        <w:t>The Cabinet may</w:t>
      </w:r>
      <w:r w:rsidR="007819C7">
        <w:t xml:space="preserve"> also </w:t>
      </w:r>
      <w:r w:rsidR="00B51736">
        <w:t xml:space="preserve">decide to </w:t>
      </w:r>
      <w:r w:rsidR="007819C7">
        <w:t xml:space="preserve">waive </w:t>
      </w:r>
      <w:r w:rsidR="00EA0499">
        <w:t xml:space="preserve">the </w:t>
      </w:r>
      <w:r w:rsidR="007819C7">
        <w:t>confidentiality</w:t>
      </w:r>
      <w:r w:rsidR="00EA0499">
        <w:t xml:space="preserve"> of its own deliberations</w:t>
      </w:r>
      <w:r w:rsidR="00681A56">
        <w:t xml:space="preserve">. </w:t>
      </w:r>
      <w:r w:rsidR="00FD5BFD">
        <w:t xml:space="preserve">But it should not be forced to do so </w:t>
      </w:r>
      <w:r w:rsidR="002C56B8">
        <w:t xml:space="preserve">every time </w:t>
      </w:r>
      <w:r w:rsidR="00A97868">
        <w:t>it tables a bill in Parliament</w:t>
      </w:r>
      <w:r w:rsidR="00107816">
        <w:t>.</w:t>
      </w:r>
      <w:r w:rsidR="00EE4B3C">
        <w:t xml:space="preserve"> </w:t>
      </w:r>
    </w:p>
    <w:p w14:paraId="25850EFB" w14:textId="73969645" w:rsidR="0093077A" w:rsidRDefault="008C7C85" w:rsidP="00562B15">
      <w:r>
        <w:tab/>
      </w:r>
      <w:r w:rsidR="00290608">
        <w:t>As t</w:t>
      </w:r>
      <w:r w:rsidR="0034792E">
        <w:t xml:space="preserve">he </w:t>
      </w:r>
      <w:r w:rsidR="0006467C">
        <w:t xml:space="preserve">Supreme Court has </w:t>
      </w:r>
      <w:r w:rsidR="00290608">
        <w:t xml:space="preserve">observed, </w:t>
      </w:r>
      <w:r w:rsidR="0006467C">
        <w:t>“</w:t>
      </w:r>
      <w:r w:rsidR="0034792E">
        <w:t xml:space="preserve">Cabinet confidentiality is </w:t>
      </w:r>
      <w:r w:rsidR="0006467C">
        <w:t>essential to good government.”</w:t>
      </w:r>
      <w:r w:rsidR="00FA0F70">
        <w:rPr>
          <w:rStyle w:val="EndnoteReference"/>
        </w:rPr>
        <w:endnoteReference w:id="25"/>
      </w:r>
      <w:r w:rsidR="0002281F">
        <w:t xml:space="preserve">  It further stated:</w:t>
      </w:r>
    </w:p>
    <w:p w14:paraId="7C9C7DE2" w14:textId="63559576" w:rsidR="00357706" w:rsidRDefault="00357706" w:rsidP="00217BA7">
      <w:pPr>
        <w:ind w:left="567" w:right="567"/>
      </w:pPr>
      <w:r w:rsidRPr="00357706">
        <w:t>The British democratic tradition which informs the Canadian tradition has long affirmed the confidentiality of what is said in the Cabinet room, and documents and papers prepared for Cabinet discussions. The reasons are obvious. Those charged with the heavy responsibility of making government decisions must be free to discuss all aspects of the problems that come before them and to express all manner of views, without fear that what they read, say or act on will later be subject to public scrutiny</w:t>
      </w:r>
      <w:r w:rsidR="0002281F">
        <w:t xml:space="preserve"> . . . </w:t>
      </w:r>
      <w:r w:rsidR="0002281F" w:rsidRPr="00357706">
        <w:t xml:space="preserve"> </w:t>
      </w:r>
      <w:r w:rsidRPr="00357706">
        <w:t>If Cabinet members’ statements were subject to disclosure, Cabinet members might censor their words, consciously or unconsciously. They might shy away from stating unpopular positions, or from making comments that might be considered politically incorrect</w:t>
      </w:r>
      <w:r w:rsidR="0002281F">
        <w:t xml:space="preserve"> . . . .</w:t>
      </w:r>
      <w:r w:rsidR="005761BC" w:rsidRPr="005761BC">
        <w:t xml:space="preserve">The process of democratic </w:t>
      </w:r>
      <w:r w:rsidR="005761BC" w:rsidRPr="005761BC">
        <w:lastRenderedPageBreak/>
        <w:t>governance works best when Cabinet members charged with government policy and decision-making are free to express themselves around the Cabinet table unreservedly.</w:t>
      </w:r>
      <w:r w:rsidR="00012F66">
        <w:rPr>
          <w:rStyle w:val="EndnoteReference"/>
        </w:rPr>
        <w:endnoteReference w:id="26"/>
      </w:r>
    </w:p>
    <w:p w14:paraId="1A964AFA" w14:textId="6A13AC05" w:rsidR="00E43CFA" w:rsidRDefault="00EF7B97" w:rsidP="00562B15">
      <w:r>
        <w:tab/>
      </w:r>
      <w:r w:rsidR="00444A19">
        <w:t xml:space="preserve">Similarly, </w:t>
      </w:r>
      <w:r w:rsidR="00004C81">
        <w:t>“</w:t>
      </w:r>
      <w:r w:rsidR="00004C81" w:rsidRPr="00004C81">
        <w:t>Solicitor-client privilege is fundamental to the proper functioning of our legal system.</w:t>
      </w:r>
      <w:r w:rsidR="00004C81">
        <w:t>”</w:t>
      </w:r>
      <w:r w:rsidR="00283553">
        <w:rPr>
          <w:rStyle w:val="EndnoteReference"/>
        </w:rPr>
        <w:endnoteReference w:id="27"/>
      </w:r>
      <w:r w:rsidR="00004C81">
        <w:t xml:space="preserve"> </w:t>
      </w:r>
      <w:r w:rsidR="005820BC">
        <w:t xml:space="preserve">Indeed, it </w:t>
      </w:r>
      <w:r w:rsidR="00056BB6">
        <w:t xml:space="preserve">is </w:t>
      </w:r>
      <w:r w:rsidR="005820BC">
        <w:t>a “</w:t>
      </w:r>
      <w:r w:rsidR="00B61217">
        <w:t>princi</w:t>
      </w:r>
      <w:r w:rsidR="005820BC">
        <w:t xml:space="preserve">ple of fundamental justice” for the purposes of s. 7 of the </w:t>
      </w:r>
      <w:r w:rsidR="005820BC" w:rsidRPr="0019380B">
        <w:rPr>
          <w:i/>
        </w:rPr>
        <w:t>Charter</w:t>
      </w:r>
      <w:r w:rsidR="005820BC">
        <w:t>.</w:t>
      </w:r>
      <w:r w:rsidR="008759E0">
        <w:rPr>
          <w:rStyle w:val="EndnoteReference"/>
        </w:rPr>
        <w:endnoteReference w:id="28"/>
      </w:r>
      <w:r w:rsidR="005820BC">
        <w:t xml:space="preserve"> </w:t>
      </w:r>
      <w:r w:rsidR="0060144B">
        <w:t xml:space="preserve">The Supreme Court has </w:t>
      </w:r>
      <w:r w:rsidR="00F84D0A">
        <w:t xml:space="preserve">also </w:t>
      </w:r>
      <w:r w:rsidR="0060144B">
        <w:t>held that “</w:t>
      </w:r>
      <w:r w:rsidR="0060144B" w:rsidRPr="0060144B">
        <w:t>solicitor-client privilege must remain as close to absolute as possible if it is to retain relevance</w:t>
      </w:r>
      <w:proofErr w:type="gramStart"/>
      <w:r w:rsidR="0060144B">
        <w:t>.“</w:t>
      </w:r>
      <w:proofErr w:type="gramEnd"/>
      <w:r w:rsidR="00055624">
        <w:rPr>
          <w:rStyle w:val="EndnoteReference"/>
        </w:rPr>
        <w:endnoteReference w:id="29"/>
      </w:r>
      <w:r w:rsidR="0060144B">
        <w:t xml:space="preserve"> </w:t>
      </w:r>
      <w:r w:rsidR="00184C49">
        <w:t xml:space="preserve">The absolute </w:t>
      </w:r>
      <w:r w:rsidR="000D4A47">
        <w:t xml:space="preserve">and indefinite </w:t>
      </w:r>
      <w:r w:rsidR="00184C49">
        <w:t>pr</w:t>
      </w:r>
      <w:r w:rsidR="00931FF2">
        <w:t>otection of communications bet</w:t>
      </w:r>
      <w:r w:rsidR="00184C49">
        <w:t xml:space="preserve">ween lawyer and </w:t>
      </w:r>
      <w:r w:rsidR="00016071">
        <w:t xml:space="preserve">client </w:t>
      </w:r>
      <w:r w:rsidR="00ED1921">
        <w:t>en</w:t>
      </w:r>
      <w:r w:rsidR="00871D57">
        <w:t xml:space="preserve">courages </w:t>
      </w:r>
      <w:r w:rsidR="0094528D">
        <w:t xml:space="preserve">the latter </w:t>
      </w:r>
      <w:r w:rsidR="00871D57">
        <w:t xml:space="preserve">to divulge all relevant facts </w:t>
      </w:r>
      <w:r w:rsidR="00AA16A2">
        <w:t xml:space="preserve">and </w:t>
      </w:r>
      <w:r w:rsidR="0094528D">
        <w:t xml:space="preserve">the former </w:t>
      </w:r>
      <w:r w:rsidR="00AA16A2">
        <w:t xml:space="preserve">to provide </w:t>
      </w:r>
      <w:r w:rsidR="009A42F7">
        <w:t>honest assessments and advice</w:t>
      </w:r>
      <w:r w:rsidR="00331F9F">
        <w:t xml:space="preserve">. </w:t>
      </w:r>
      <w:r w:rsidR="009836C5">
        <w:t xml:space="preserve">When </w:t>
      </w:r>
      <w:r w:rsidR="00AB5663">
        <w:t xml:space="preserve">government is </w:t>
      </w:r>
      <w:r w:rsidR="009836C5">
        <w:t xml:space="preserve">the client, </w:t>
      </w:r>
      <w:r w:rsidR="00D521B9">
        <w:t xml:space="preserve">solicitor-client </w:t>
      </w:r>
      <w:r w:rsidR="009836C5">
        <w:t xml:space="preserve">privilege </w:t>
      </w:r>
      <w:r w:rsidR="002A7F29">
        <w:t xml:space="preserve">allows </w:t>
      </w:r>
      <w:r w:rsidR="00700380">
        <w:t>policy options</w:t>
      </w:r>
      <w:r w:rsidR="008A4AE8">
        <w:t xml:space="preserve"> </w:t>
      </w:r>
      <w:r w:rsidR="00100942">
        <w:t xml:space="preserve">to be fully evaluated on legal grounds </w:t>
      </w:r>
      <w:r w:rsidR="00797BD4">
        <w:t xml:space="preserve">without fear of </w:t>
      </w:r>
      <w:r w:rsidR="00B33FEF">
        <w:t xml:space="preserve">public disclosure. </w:t>
      </w:r>
      <w:r w:rsidR="008040AE">
        <w:t xml:space="preserve">Together with </w:t>
      </w:r>
      <w:r w:rsidR="003D50FF">
        <w:t>Cabinet confidentiality, i</w:t>
      </w:r>
      <w:r w:rsidR="00130AFF">
        <w:t xml:space="preserve">t </w:t>
      </w:r>
      <w:r w:rsidR="007175D6">
        <w:t xml:space="preserve">promotes </w:t>
      </w:r>
      <w:r w:rsidR="00130AFF">
        <w:t>good governance</w:t>
      </w:r>
      <w:r w:rsidR="00BF44E7">
        <w:t>.</w:t>
      </w:r>
      <w:r w:rsidR="00E8154F">
        <w:t xml:space="preserve"> </w:t>
      </w:r>
    </w:p>
    <w:p w14:paraId="12C726AD" w14:textId="6CF2C4B9" w:rsidR="002964A3" w:rsidRDefault="00366D03" w:rsidP="00606622">
      <w:r>
        <w:tab/>
      </w:r>
      <w:r w:rsidR="008D5A2C">
        <w:t xml:space="preserve">The importance of these principles </w:t>
      </w:r>
      <w:r w:rsidR="008D157A">
        <w:t xml:space="preserve">is </w:t>
      </w:r>
      <w:r w:rsidR="00323147">
        <w:t xml:space="preserve">reflected in </w:t>
      </w:r>
      <w:r w:rsidR="007733AF">
        <w:t>a variety of federal st</w:t>
      </w:r>
      <w:r w:rsidR="008E7E10">
        <w:t xml:space="preserve">atutes, </w:t>
      </w:r>
      <w:r w:rsidR="00FB2962">
        <w:t xml:space="preserve">including </w:t>
      </w:r>
      <w:r w:rsidR="00443AD5">
        <w:t xml:space="preserve">the </w:t>
      </w:r>
      <w:r w:rsidR="00443AD5" w:rsidRPr="00CF1B30">
        <w:rPr>
          <w:i/>
        </w:rPr>
        <w:t>Canad</w:t>
      </w:r>
      <w:r w:rsidR="0018054F" w:rsidRPr="00CF1B30">
        <w:rPr>
          <w:i/>
        </w:rPr>
        <w:t>a Evidence Act</w:t>
      </w:r>
      <w:r w:rsidR="0018054F">
        <w:t xml:space="preserve"> (sections 38 and 39); </w:t>
      </w:r>
      <w:r w:rsidR="008A0569">
        <w:t xml:space="preserve">the </w:t>
      </w:r>
      <w:r w:rsidR="008A0569" w:rsidRPr="00CF1B30">
        <w:rPr>
          <w:i/>
        </w:rPr>
        <w:t>Personal Information Protection and Electronic Documents Act</w:t>
      </w:r>
      <w:r w:rsidR="0018054F">
        <w:t xml:space="preserve"> (section</w:t>
      </w:r>
      <w:r w:rsidR="00893A8C">
        <w:t xml:space="preserve"> 9(3)); </w:t>
      </w:r>
      <w:r w:rsidR="003A3E9A">
        <w:t xml:space="preserve">and the </w:t>
      </w:r>
      <w:r w:rsidR="003A3E9A" w:rsidRPr="00CF1B30">
        <w:rPr>
          <w:i/>
        </w:rPr>
        <w:t>Privacy Act</w:t>
      </w:r>
      <w:r w:rsidR="003A3E9A">
        <w:t xml:space="preserve"> (s. 27).</w:t>
      </w:r>
      <w:r w:rsidR="00572DB9">
        <w:t xml:space="preserve"> </w:t>
      </w:r>
      <w:r w:rsidR="00FB3EA4">
        <w:t>These laws provide that government i</w:t>
      </w:r>
      <w:r w:rsidR="007E198A">
        <w:t xml:space="preserve">nformation which would otherwise be subject to public </w:t>
      </w:r>
      <w:r w:rsidR="005D4BE3">
        <w:t>disclosure</w:t>
      </w:r>
      <w:r w:rsidR="00B80991">
        <w:t xml:space="preserve"> </w:t>
      </w:r>
      <w:r w:rsidR="00F640C7">
        <w:t xml:space="preserve">may (or must) be withheld </w:t>
      </w:r>
      <w:r w:rsidR="00174F1C">
        <w:t xml:space="preserve">if </w:t>
      </w:r>
      <w:r w:rsidR="00345E58">
        <w:t xml:space="preserve">it is subject to </w:t>
      </w:r>
      <w:r w:rsidR="00920A03">
        <w:t xml:space="preserve">Cabinet confidentiality </w:t>
      </w:r>
      <w:r w:rsidR="003813A3">
        <w:t>and/</w:t>
      </w:r>
      <w:r w:rsidR="00920A03">
        <w:t xml:space="preserve">or </w:t>
      </w:r>
      <w:r w:rsidR="003813A3">
        <w:t xml:space="preserve">solicitor-client privilege. </w:t>
      </w:r>
      <w:r w:rsidR="00E95303">
        <w:t xml:space="preserve">For example, s. 23 of the </w:t>
      </w:r>
      <w:r w:rsidR="00E95303" w:rsidRPr="00777AEA">
        <w:rPr>
          <w:i/>
        </w:rPr>
        <w:t>Access to Information Act</w:t>
      </w:r>
      <w:r w:rsidR="00E95303">
        <w:t xml:space="preserve"> provides that “The head of a government institution </w:t>
      </w:r>
      <w:r w:rsidR="00E95303" w:rsidRPr="00777AEA">
        <w:rPr>
          <w:b/>
        </w:rPr>
        <w:t>may</w:t>
      </w:r>
      <w:r w:rsidR="00E95303">
        <w:t xml:space="preserve"> refuse to disclose any record requested under this Act that contains information that is subject to solicitor-client privilege.” </w:t>
      </w:r>
      <w:r w:rsidR="00606622">
        <w:t xml:space="preserve">Section 69 </w:t>
      </w:r>
      <w:r w:rsidR="00102DE8">
        <w:t xml:space="preserve">prohibits </w:t>
      </w:r>
      <w:r w:rsidR="004B2EFF" w:rsidRPr="004B2EFF">
        <w:rPr>
          <w:b/>
        </w:rPr>
        <w:t>any</w:t>
      </w:r>
      <w:r w:rsidR="00102DE8">
        <w:t xml:space="preserve"> disclosure of </w:t>
      </w:r>
      <w:r w:rsidR="00606622">
        <w:t>“confidences of the Queen’s Privy Council for Canada</w:t>
      </w:r>
      <w:r w:rsidR="00B65920">
        <w:t>,</w:t>
      </w:r>
      <w:r w:rsidR="00606622">
        <w:t xml:space="preserve">” </w:t>
      </w:r>
      <w:r w:rsidR="00C50BB6">
        <w:t>unless their substance has already bee</w:t>
      </w:r>
      <w:r w:rsidR="00E33389">
        <w:t>n made public or a stipulated number of years has elapsed.</w:t>
      </w:r>
      <w:r w:rsidR="004D3B6A">
        <w:t xml:space="preserve"> </w:t>
      </w:r>
      <w:r w:rsidR="00B07CE4">
        <w:t>A similar Ontario prov</w:t>
      </w:r>
      <w:r w:rsidR="005E699F">
        <w:t xml:space="preserve">ision </w:t>
      </w:r>
      <w:r w:rsidR="00B07CE4">
        <w:t>s</w:t>
      </w:r>
      <w:r w:rsidR="0019464F">
        <w:t xml:space="preserve">urvived a </w:t>
      </w:r>
      <w:r w:rsidR="00637272" w:rsidRPr="0006584B">
        <w:rPr>
          <w:i/>
        </w:rPr>
        <w:t>Charter</w:t>
      </w:r>
      <w:r w:rsidR="00637272">
        <w:t xml:space="preserve"> challenge</w:t>
      </w:r>
      <w:r w:rsidR="004D45EA">
        <w:t xml:space="preserve">, </w:t>
      </w:r>
      <w:r w:rsidR="000A3F85">
        <w:t xml:space="preserve">the Supreme Court </w:t>
      </w:r>
      <w:r w:rsidR="004D45EA">
        <w:t xml:space="preserve">having concluded that </w:t>
      </w:r>
      <w:r w:rsidR="00694A5D">
        <w:t xml:space="preserve">the guarantee of expressive freedom in </w:t>
      </w:r>
      <w:r w:rsidR="00CE614B">
        <w:t xml:space="preserve">s. 2(b) </w:t>
      </w:r>
      <w:r w:rsidR="003D147F">
        <w:t xml:space="preserve">cannot trump </w:t>
      </w:r>
      <w:r w:rsidR="00116BDA">
        <w:t xml:space="preserve">solicitor-client </w:t>
      </w:r>
      <w:r w:rsidR="0068271C">
        <w:t>privilege or Cabinet confidentiality</w:t>
      </w:r>
      <w:r w:rsidR="009C6408">
        <w:t xml:space="preserve"> “</w:t>
      </w:r>
      <w:r w:rsidR="009C6408" w:rsidRPr="009C6408">
        <w:t>where the public interest in confidentiality outweighs the interests served by disclosure.</w:t>
      </w:r>
      <w:r w:rsidR="009C6408">
        <w:t>”</w:t>
      </w:r>
      <w:r w:rsidR="00ED21BC">
        <w:rPr>
          <w:rStyle w:val="EndnoteReference"/>
        </w:rPr>
        <w:endnoteReference w:id="30"/>
      </w:r>
    </w:p>
    <w:p w14:paraId="7D2363C1" w14:textId="640E8ACB" w:rsidR="00AF11FE" w:rsidRDefault="00AF4AA1" w:rsidP="00AF11FE">
      <w:r>
        <w:tab/>
      </w:r>
      <w:r w:rsidR="00AF11FE">
        <w:t xml:space="preserve">As Justice </w:t>
      </w:r>
      <w:r w:rsidR="00AF11FE" w:rsidRPr="000839CC">
        <w:t>Noël</w:t>
      </w:r>
      <w:r w:rsidR="00AF11FE">
        <w:t xml:space="preserve"> described at length in </w:t>
      </w:r>
      <w:r w:rsidR="00AF11FE" w:rsidRPr="00135634">
        <w:rPr>
          <w:i/>
        </w:rPr>
        <w:t>Schmidt</w:t>
      </w:r>
      <w:r w:rsidR="00AF11FE">
        <w:t xml:space="preserve">, lawyers in various branches of the DOJ provide advice and analysis throughout the </w:t>
      </w:r>
      <w:r w:rsidR="00A92437">
        <w:t xml:space="preserve">policy-making </w:t>
      </w:r>
      <w:r w:rsidR="00AF11FE">
        <w:t>process. Their advice is inc</w:t>
      </w:r>
      <w:r w:rsidR="00A16881">
        <w:t>orporated</w:t>
      </w:r>
      <w:r w:rsidR="00AF11FE">
        <w:t xml:space="preserve"> in</w:t>
      </w:r>
      <w:r w:rsidR="00A16881">
        <w:t>to</w:t>
      </w:r>
      <w:r w:rsidR="00AF11FE">
        <w:t xml:space="preserve"> the Memorandum to Cabinet (“MC”) </w:t>
      </w:r>
      <w:r w:rsidR="00AE27E1">
        <w:t xml:space="preserve">prepared for </w:t>
      </w:r>
      <w:r w:rsidR="00AF11FE">
        <w:t xml:space="preserve">each </w:t>
      </w:r>
      <w:r w:rsidR="00E44E51">
        <w:t xml:space="preserve">proposed </w:t>
      </w:r>
      <w:r w:rsidR="00AF11FE">
        <w:t xml:space="preserve">Government Bill. </w:t>
      </w:r>
      <w:r w:rsidR="00BE06B4">
        <w:t xml:space="preserve">The </w:t>
      </w:r>
      <w:r w:rsidR="00AF11FE">
        <w:t xml:space="preserve">MC is </w:t>
      </w:r>
      <w:r w:rsidR="000B3E24">
        <w:t>the</w:t>
      </w:r>
      <w:r w:rsidR="00FA59A7">
        <w:t xml:space="preserve"> most </w:t>
      </w:r>
      <w:r w:rsidR="0055183D">
        <w:t xml:space="preserve">comprehensive </w:t>
      </w:r>
      <w:r w:rsidR="00FA59A7">
        <w:t xml:space="preserve">of the “documents and </w:t>
      </w:r>
      <w:r w:rsidR="000B3E24">
        <w:t>papers</w:t>
      </w:r>
      <w:r w:rsidR="00FA59A7">
        <w:t xml:space="preserve"> prepared for </w:t>
      </w:r>
      <w:r w:rsidR="000B3E24">
        <w:t>Cabinet</w:t>
      </w:r>
      <w:r w:rsidR="00FA59A7">
        <w:t xml:space="preserve"> discussions”. </w:t>
      </w:r>
      <w:r w:rsidR="00934D6A">
        <w:t xml:space="preserve">It is </w:t>
      </w:r>
      <w:r w:rsidR="000B3E24">
        <w:t>fully protected by Cabinet confidentiality</w:t>
      </w:r>
      <w:r w:rsidR="00934D6A">
        <w:t>.</w:t>
      </w:r>
      <w:r w:rsidR="00867018">
        <w:rPr>
          <w:rStyle w:val="EndnoteReference"/>
        </w:rPr>
        <w:endnoteReference w:id="31"/>
      </w:r>
      <w:r w:rsidR="00934D6A">
        <w:t xml:space="preserve"> </w:t>
      </w:r>
      <w:r w:rsidR="001969E4">
        <w:t xml:space="preserve">Even </w:t>
      </w:r>
      <w:r w:rsidR="000D0ABB">
        <w:t>if this were not the case</w:t>
      </w:r>
      <w:r w:rsidR="000B3E24">
        <w:t xml:space="preserve">, </w:t>
      </w:r>
      <w:r w:rsidR="00E53F6B">
        <w:t>t</w:t>
      </w:r>
      <w:r w:rsidR="00E53F8B">
        <w:t xml:space="preserve">he advice </w:t>
      </w:r>
      <w:r w:rsidR="00C42A99">
        <w:t xml:space="preserve">and assessments </w:t>
      </w:r>
      <w:r w:rsidR="005E18BC">
        <w:t xml:space="preserve">provided </w:t>
      </w:r>
      <w:r w:rsidR="001879B1">
        <w:t>to the Mini</w:t>
      </w:r>
      <w:r w:rsidR="0086542F">
        <w:t xml:space="preserve">ster of Justice </w:t>
      </w:r>
      <w:r w:rsidR="005E18BC">
        <w:t xml:space="preserve">by DOJ </w:t>
      </w:r>
      <w:r w:rsidR="00F42363">
        <w:t xml:space="preserve">lawyers, and </w:t>
      </w:r>
      <w:r w:rsidR="00FF51C3">
        <w:t xml:space="preserve">conveyed to the rest of the </w:t>
      </w:r>
      <w:r w:rsidR="00AF524C">
        <w:t xml:space="preserve">Cabinet by the </w:t>
      </w:r>
      <w:r w:rsidR="00CE5452">
        <w:t xml:space="preserve">Minister, </w:t>
      </w:r>
      <w:r w:rsidR="000A2196">
        <w:t xml:space="preserve">would </w:t>
      </w:r>
      <w:r w:rsidR="00BE3B6F">
        <w:t xml:space="preserve">still </w:t>
      </w:r>
      <w:r w:rsidR="000A2196">
        <w:t xml:space="preserve">be </w:t>
      </w:r>
      <w:r w:rsidR="00911026">
        <w:t xml:space="preserve">subject to </w:t>
      </w:r>
      <w:r w:rsidR="00A52693">
        <w:t>solicitor-client privilege.</w:t>
      </w:r>
      <w:r w:rsidR="00DC0350">
        <w:rPr>
          <w:rStyle w:val="EndnoteReference"/>
        </w:rPr>
        <w:endnoteReference w:id="32"/>
      </w:r>
      <w:r w:rsidR="004B2979">
        <w:t xml:space="preserve"> </w:t>
      </w:r>
    </w:p>
    <w:p w14:paraId="5FAAAC7C" w14:textId="72B1FDE9" w:rsidR="00C80581" w:rsidRDefault="00E5085C" w:rsidP="00562B15">
      <w:r>
        <w:tab/>
        <w:t xml:space="preserve">Where a privilege applies, </w:t>
      </w:r>
      <w:r w:rsidR="006513D5">
        <w:t xml:space="preserve">only the </w:t>
      </w:r>
      <w:r w:rsidR="007F4D4F">
        <w:t xml:space="preserve">holder </w:t>
      </w:r>
      <w:r w:rsidR="00EC0602">
        <w:t xml:space="preserve">can </w:t>
      </w:r>
      <w:r w:rsidR="0002281F">
        <w:t xml:space="preserve">refuse </w:t>
      </w:r>
      <w:r w:rsidR="00EC0602">
        <w:t xml:space="preserve">it. </w:t>
      </w:r>
      <w:r w:rsidR="0037033B">
        <w:t>A</w:t>
      </w:r>
      <w:r w:rsidR="0029438A">
        <w:t xml:space="preserve"> </w:t>
      </w:r>
      <w:r w:rsidR="00FE4997">
        <w:t>client can wa</w:t>
      </w:r>
      <w:r w:rsidR="0029438A">
        <w:t xml:space="preserve">ive solicitor-client privilege; his or her </w:t>
      </w:r>
      <w:r w:rsidR="00FE4997">
        <w:t xml:space="preserve">lawyer </w:t>
      </w:r>
      <w:r w:rsidR="0029438A">
        <w:t>cannot.</w:t>
      </w:r>
      <w:r w:rsidR="008E5CDD">
        <w:rPr>
          <w:rStyle w:val="EndnoteReference"/>
        </w:rPr>
        <w:endnoteReference w:id="33"/>
      </w:r>
      <w:r w:rsidR="0029438A">
        <w:t xml:space="preserve"> </w:t>
      </w:r>
      <w:r w:rsidR="002565A2">
        <w:t xml:space="preserve">Similarly, the Cabinet </w:t>
      </w:r>
      <w:r w:rsidR="00DF3607">
        <w:t xml:space="preserve">may </w:t>
      </w:r>
      <w:r w:rsidR="00E714A4">
        <w:t xml:space="preserve">waive </w:t>
      </w:r>
      <w:r w:rsidR="00B23845">
        <w:t xml:space="preserve">confidentiality </w:t>
      </w:r>
      <w:r w:rsidR="007D1B77">
        <w:t xml:space="preserve">in a </w:t>
      </w:r>
      <w:r w:rsidR="00495CE2">
        <w:t xml:space="preserve">particular </w:t>
      </w:r>
      <w:r w:rsidR="007D1B77">
        <w:t>document</w:t>
      </w:r>
      <w:r w:rsidR="00F217A6">
        <w:t>.</w:t>
      </w:r>
      <w:r w:rsidR="00F217A6">
        <w:rPr>
          <w:rStyle w:val="EndnoteReference"/>
        </w:rPr>
        <w:endnoteReference w:id="34"/>
      </w:r>
      <w:r w:rsidR="00DF3607">
        <w:t xml:space="preserve"> </w:t>
      </w:r>
      <w:r w:rsidR="00645FA5">
        <w:t xml:space="preserve">But there does not seem to be any legal basis for suggesting that </w:t>
      </w:r>
      <w:r w:rsidR="007173A2">
        <w:t xml:space="preserve">Parliament, or anyone else, could force </w:t>
      </w:r>
      <w:r w:rsidR="0002281F">
        <w:t>the</w:t>
      </w:r>
      <w:r w:rsidR="00642AD8">
        <w:t xml:space="preserve"> federal Government to </w:t>
      </w:r>
      <w:r w:rsidR="00871EF6">
        <w:t xml:space="preserve">disclose confidential legal advice </w:t>
      </w:r>
      <w:r w:rsidR="00C874F6">
        <w:t xml:space="preserve">provided </w:t>
      </w:r>
      <w:r w:rsidR="00871EF6">
        <w:t xml:space="preserve">to Cabinet </w:t>
      </w:r>
      <w:r w:rsidR="000A62A1">
        <w:t xml:space="preserve">by </w:t>
      </w:r>
      <w:r w:rsidR="00791B9F">
        <w:t>DOJ lawyers</w:t>
      </w:r>
      <w:r w:rsidR="00270691">
        <w:t xml:space="preserve">. </w:t>
      </w:r>
      <w:r w:rsidR="00270691">
        <w:t xml:space="preserve">As Justice </w:t>
      </w:r>
      <w:r w:rsidR="00270691" w:rsidRPr="000839CC">
        <w:t>Noël</w:t>
      </w:r>
      <w:r w:rsidR="00270691">
        <w:t xml:space="preserve"> observed in </w:t>
      </w:r>
      <w:r w:rsidR="00270691" w:rsidRPr="007836AE">
        <w:rPr>
          <w:i/>
        </w:rPr>
        <w:t>Schmidt</w:t>
      </w:r>
      <w:r w:rsidR="00270691">
        <w:t>, “</w:t>
      </w:r>
      <w:r w:rsidR="00270691" w:rsidRPr="00E32A4B">
        <w:t xml:space="preserve">Parliament </w:t>
      </w:r>
      <w:r w:rsidR="00270691">
        <w:t>… i</w:t>
      </w:r>
      <w:r w:rsidR="00270691" w:rsidRPr="00E32A4B">
        <w:t>s not the client of the Minister of Justice</w:t>
      </w:r>
      <w:r w:rsidR="00270691">
        <w:t>.”</w:t>
      </w:r>
      <w:r w:rsidR="00270691">
        <w:rPr>
          <w:rStyle w:val="EndnoteReference"/>
        </w:rPr>
        <w:endnoteReference w:id="35"/>
      </w:r>
      <w:r w:rsidR="00270691">
        <w:t xml:space="preserve">  </w:t>
      </w:r>
    </w:p>
    <w:p w14:paraId="713E2088" w14:textId="77777777" w:rsidR="00330EC9" w:rsidRDefault="00B449B4" w:rsidP="00562B15">
      <w:r>
        <w:tab/>
      </w:r>
      <w:r w:rsidR="0007102C">
        <w:t>In New Zealand</w:t>
      </w:r>
      <w:r w:rsidR="007C46A0">
        <w:t xml:space="preserve">, </w:t>
      </w:r>
      <w:r w:rsidR="00086845">
        <w:t xml:space="preserve">the </w:t>
      </w:r>
      <w:r w:rsidR="00891C8C">
        <w:t xml:space="preserve">“section 7 reports” </w:t>
      </w:r>
      <w:r w:rsidR="00EF2FE2">
        <w:t xml:space="preserve">are available to the </w:t>
      </w:r>
      <w:r w:rsidR="00517E10">
        <w:t xml:space="preserve">public </w:t>
      </w:r>
      <w:r w:rsidR="00C97C6D">
        <w:t xml:space="preserve">because </w:t>
      </w:r>
      <w:r w:rsidR="00713CA3">
        <w:t xml:space="preserve">successive </w:t>
      </w:r>
      <w:r w:rsidR="00C97C6D">
        <w:t>Minister</w:t>
      </w:r>
      <w:r w:rsidR="00713CA3">
        <w:t>s</w:t>
      </w:r>
      <w:r w:rsidR="00C97C6D">
        <w:t xml:space="preserve"> of Justice </w:t>
      </w:r>
      <w:r w:rsidR="009A471A">
        <w:t xml:space="preserve">(since 2003) </w:t>
      </w:r>
      <w:r w:rsidR="00713CA3">
        <w:t xml:space="preserve">have </w:t>
      </w:r>
      <w:r w:rsidR="00DF4442">
        <w:t>chosen to waive</w:t>
      </w:r>
      <w:r w:rsidR="00741963">
        <w:t xml:space="preserve"> privilege</w:t>
      </w:r>
      <w:r w:rsidR="00675960">
        <w:t>.</w:t>
      </w:r>
      <w:r w:rsidR="00E951AE">
        <w:rPr>
          <w:rStyle w:val="EndnoteReference"/>
        </w:rPr>
        <w:endnoteReference w:id="36"/>
      </w:r>
      <w:r w:rsidR="00A32024">
        <w:t xml:space="preserve"> </w:t>
      </w:r>
      <w:r w:rsidR="004C373D">
        <w:t xml:space="preserve">In all probability, </w:t>
      </w:r>
      <w:r w:rsidR="00152D1A">
        <w:t xml:space="preserve">political pressures forced </w:t>
      </w:r>
      <w:r w:rsidR="003A4559">
        <w:t xml:space="preserve">the </w:t>
      </w:r>
      <w:r w:rsidR="005D128C">
        <w:t xml:space="preserve">disclosure of confidential legal advice </w:t>
      </w:r>
      <w:r w:rsidR="000D36E1">
        <w:t xml:space="preserve">because </w:t>
      </w:r>
      <w:r w:rsidR="00F019A6">
        <w:t xml:space="preserve">there are no </w:t>
      </w:r>
      <w:r w:rsidR="00D37A1A">
        <w:t xml:space="preserve">judicial remedies for rights violations in </w:t>
      </w:r>
      <w:r w:rsidR="003A4559">
        <w:t>New Zealand</w:t>
      </w:r>
      <w:r w:rsidR="00D37A1A">
        <w:t>.</w:t>
      </w:r>
      <w:r w:rsidR="003A4559">
        <w:t xml:space="preserve"> </w:t>
      </w:r>
      <w:r w:rsidR="002A6028">
        <w:t>Eve</w:t>
      </w:r>
      <w:r w:rsidR="00535FD8">
        <w:t xml:space="preserve">n so, the website </w:t>
      </w:r>
      <w:r w:rsidR="00D50C7A">
        <w:t>providing access to New Zealand compliance reports contains the following statement:</w:t>
      </w:r>
      <w:r w:rsidR="00BC77EF">
        <w:t xml:space="preserve"> </w:t>
      </w:r>
    </w:p>
    <w:p w14:paraId="7772EE80" w14:textId="77777777" w:rsidR="00E63B1A" w:rsidRDefault="00A75963" w:rsidP="0086763A">
      <w:pPr>
        <w:spacing w:after="0"/>
        <w:ind w:left="567" w:right="567"/>
      </w:pPr>
      <w:r w:rsidRPr="00A75963">
        <w:lastRenderedPageBreak/>
        <w:t>This advice was prepared to assist the Attorney-General to determine whether a report should be made to Parliament under s 7 of the New Zealand Bill of Rights Act 1990. It should not be used or acted upon for any other purpose. The advice does no more than assess whether the Bill complies with the minimum guarantees contained in the New Zealand Bill of Rights Act. The release of this advice should not be taken to indicate that the Attorney-General agrees with all aspects of it, nor does its release constitute a general waiver of legal professional privilege in respect of this or any other matter.</w:t>
      </w:r>
      <w:r w:rsidR="00E63B1A" w:rsidRPr="00E63B1A">
        <w:rPr>
          <w:rStyle w:val="EndnoteReference"/>
        </w:rPr>
        <w:t xml:space="preserve"> </w:t>
      </w:r>
      <w:r w:rsidR="00E63B1A">
        <w:rPr>
          <w:rStyle w:val="EndnoteReference"/>
        </w:rPr>
        <w:endnoteReference w:id="37"/>
      </w:r>
    </w:p>
    <w:p w14:paraId="0F349053" w14:textId="77777777" w:rsidR="00A156B3" w:rsidRDefault="00A156B3" w:rsidP="00562B15"/>
    <w:p w14:paraId="6E918250" w14:textId="77777777" w:rsidR="006352A2" w:rsidRDefault="000B39B8" w:rsidP="00562B15">
      <w:r>
        <w:t xml:space="preserve">This kind of disclaimer </w:t>
      </w:r>
      <w:r w:rsidR="006B714E">
        <w:t xml:space="preserve">could be </w:t>
      </w:r>
      <w:r w:rsidR="006277BF">
        <w:t xml:space="preserve">used </w:t>
      </w:r>
      <w:r w:rsidR="006B714E">
        <w:t xml:space="preserve">in Canada, </w:t>
      </w:r>
      <w:r w:rsidR="0093576D">
        <w:t xml:space="preserve">if </w:t>
      </w:r>
      <w:r w:rsidR="00C14642">
        <w:t>future Governments decided to disclos</w:t>
      </w:r>
      <w:r w:rsidR="00AB5AF3">
        <w:t xml:space="preserve">e </w:t>
      </w:r>
      <w:r w:rsidR="00C818F1" w:rsidRPr="005A73E7">
        <w:rPr>
          <w:i/>
        </w:rPr>
        <w:t>Charter</w:t>
      </w:r>
      <w:r w:rsidR="00C818F1">
        <w:t xml:space="preserve"> risk analyses </w:t>
      </w:r>
      <w:r w:rsidR="00C14642">
        <w:t xml:space="preserve">on a case-by-case basis. </w:t>
      </w:r>
    </w:p>
    <w:p w14:paraId="5F411FD0" w14:textId="57F4DEB6" w:rsidR="00A75963" w:rsidRDefault="006352A2" w:rsidP="00562B15">
      <w:r>
        <w:tab/>
      </w:r>
      <w:r w:rsidR="00472C5B">
        <w:t xml:space="preserve">The </w:t>
      </w:r>
      <w:r w:rsidR="001A3828">
        <w:t xml:space="preserve">key </w:t>
      </w:r>
      <w:r w:rsidR="00472C5B">
        <w:t>point is that</w:t>
      </w:r>
      <w:r w:rsidR="001C025F">
        <w:t xml:space="preserve"> </w:t>
      </w:r>
      <w:r w:rsidR="00C4602B">
        <w:t xml:space="preserve">Parliament cannot waive </w:t>
      </w:r>
      <w:r w:rsidR="00155A25">
        <w:t xml:space="preserve">either </w:t>
      </w:r>
      <w:r w:rsidR="000215ED">
        <w:t xml:space="preserve">privilege </w:t>
      </w:r>
      <w:r w:rsidR="00C4602B">
        <w:t>on b</w:t>
      </w:r>
      <w:r w:rsidR="00095A56">
        <w:t>ehalf of the executive branch</w:t>
      </w:r>
      <w:r w:rsidR="001E7C44">
        <w:t>. Only the Cabinet</w:t>
      </w:r>
      <w:r w:rsidR="006646E1">
        <w:t xml:space="preserve"> can choose to divulge </w:t>
      </w:r>
      <w:r w:rsidR="003C4E19">
        <w:t xml:space="preserve">the legal advice that it receives </w:t>
      </w:r>
      <w:r w:rsidR="00BD7750">
        <w:t>from the Department of Justice</w:t>
      </w:r>
      <w:r w:rsidR="000236D1">
        <w:t xml:space="preserve">, including advice on </w:t>
      </w:r>
      <w:r w:rsidR="000236D1" w:rsidRPr="00647DFB">
        <w:rPr>
          <w:i/>
        </w:rPr>
        <w:t>Charter</w:t>
      </w:r>
      <w:r w:rsidR="000236D1">
        <w:t xml:space="preserve"> compatibility. </w:t>
      </w:r>
      <w:r w:rsidR="00F80FB5">
        <w:t xml:space="preserve">Amending s. 4.1 of the DOJ Act </w:t>
      </w:r>
      <w:r w:rsidR="00C526EA">
        <w:t>to enforce such disclosure</w:t>
      </w:r>
      <w:r w:rsidR="00BF6B36">
        <w:t xml:space="preserve"> on a reluctant </w:t>
      </w:r>
      <w:r w:rsidR="0030774A">
        <w:t>executive branch</w:t>
      </w:r>
      <w:r w:rsidR="00C526EA">
        <w:t xml:space="preserve"> </w:t>
      </w:r>
      <w:r w:rsidR="00066E5B">
        <w:t xml:space="preserve">would </w:t>
      </w:r>
      <w:r w:rsidR="00C840D5">
        <w:t>con</w:t>
      </w:r>
      <w:bookmarkStart w:id="0" w:name="_GoBack"/>
      <w:bookmarkEnd w:id="0"/>
      <w:r w:rsidR="00C840D5">
        <w:t xml:space="preserve">flict with </w:t>
      </w:r>
      <w:r w:rsidR="00410353">
        <w:t xml:space="preserve">the separation of powers, </w:t>
      </w:r>
      <w:r w:rsidR="00115B4C">
        <w:t xml:space="preserve">solicitor-client privilege and </w:t>
      </w:r>
      <w:r w:rsidR="002A3E49">
        <w:t xml:space="preserve">Cabinet </w:t>
      </w:r>
      <w:r w:rsidR="00FB0ED1">
        <w:t>confidentiality</w:t>
      </w:r>
      <w:r w:rsidR="00C338EA">
        <w:t xml:space="preserve">. </w:t>
      </w:r>
      <w:r w:rsidR="00BE1FAB">
        <w:t xml:space="preserve">Given that </w:t>
      </w:r>
      <w:r w:rsidR="00E50D6F">
        <w:t xml:space="preserve">the </w:t>
      </w:r>
      <w:r w:rsidR="00E50D6F" w:rsidRPr="00AE0095">
        <w:rPr>
          <w:i/>
        </w:rPr>
        <w:t>Charter</w:t>
      </w:r>
      <w:r w:rsidR="00E50D6F">
        <w:t xml:space="preserve"> cannot override other parts of the </w:t>
      </w:r>
      <w:r w:rsidR="005F3A3E">
        <w:t>Constitut</w:t>
      </w:r>
      <w:r w:rsidR="00066B19">
        <w:t>ion</w:t>
      </w:r>
      <w:r w:rsidR="00235297">
        <w:rPr>
          <w:rStyle w:val="EndnoteReference"/>
        </w:rPr>
        <w:endnoteReference w:id="38"/>
      </w:r>
      <w:r w:rsidR="00B9218F">
        <w:t xml:space="preserve">, </w:t>
      </w:r>
      <w:r w:rsidR="003579AD">
        <w:t xml:space="preserve">this particular recommendation to </w:t>
      </w:r>
      <w:r w:rsidR="00C819D0">
        <w:t xml:space="preserve">“put the </w:t>
      </w:r>
      <w:r w:rsidR="00C819D0" w:rsidRPr="000068BF">
        <w:rPr>
          <w:i/>
        </w:rPr>
        <w:t>Charter</w:t>
      </w:r>
      <w:r w:rsidR="00C819D0">
        <w:t xml:space="preserve"> first” looks like a non-starter.</w:t>
      </w:r>
    </w:p>
    <w:p w14:paraId="606E4601" w14:textId="77777777" w:rsidR="00E555F5" w:rsidRDefault="00E555F5" w:rsidP="00AE0095">
      <w:pPr>
        <w:pStyle w:val="Header"/>
        <w:tabs>
          <w:tab w:val="clear" w:pos="4680"/>
          <w:tab w:val="clear" w:pos="9360"/>
        </w:tabs>
        <w:spacing w:after="160" w:line="259" w:lineRule="auto"/>
      </w:pPr>
    </w:p>
    <w:p w14:paraId="36EB343F" w14:textId="423974DA" w:rsidR="00AE0095" w:rsidRDefault="00AE0095" w:rsidP="00AE0095">
      <w:pPr>
        <w:pStyle w:val="Header"/>
        <w:tabs>
          <w:tab w:val="clear" w:pos="4680"/>
          <w:tab w:val="clear" w:pos="9360"/>
        </w:tabs>
        <w:spacing w:after="160" w:line="259" w:lineRule="auto"/>
      </w:pPr>
      <w:r>
        <w:t xml:space="preserve">Heather MacIvor </w:t>
      </w:r>
      <w:r w:rsidR="006F13B4">
        <w:t xml:space="preserve">is a former </w:t>
      </w:r>
      <w:r w:rsidR="00C71DE1">
        <w:t>Associate Professor of P</w:t>
      </w:r>
      <w:r w:rsidR="006F13B4">
        <w:t xml:space="preserve">olitical </w:t>
      </w:r>
      <w:r w:rsidR="00C71DE1">
        <w:t>S</w:t>
      </w:r>
      <w:r w:rsidR="006F13B4">
        <w:t>cien</w:t>
      </w:r>
      <w:r w:rsidR="00C71DE1">
        <w:t>ce</w:t>
      </w:r>
      <w:r w:rsidR="006F13B4">
        <w:t xml:space="preserve">. Since receiving her JD in 2014 she has clerked at the </w:t>
      </w:r>
      <w:r w:rsidR="00453E96">
        <w:t xml:space="preserve">Divisional Court and articled at the Constitutional Law Branch. </w:t>
      </w:r>
      <w:r w:rsidR="00983C95">
        <w:t>While seek</w:t>
      </w:r>
      <w:r w:rsidR="00371169">
        <w:t>ing</w:t>
      </w:r>
      <w:r w:rsidR="00983C95">
        <w:t xml:space="preserve"> a permanent legal position in Toront</w:t>
      </w:r>
      <w:r w:rsidR="005D7E12">
        <w:t>o</w:t>
      </w:r>
      <w:r w:rsidR="00983C95">
        <w:t xml:space="preserve">, Heather </w:t>
      </w:r>
      <w:r w:rsidR="00B64D8B">
        <w:t xml:space="preserve">is </w:t>
      </w:r>
      <w:r w:rsidR="00371169">
        <w:t xml:space="preserve">currently </w:t>
      </w:r>
      <w:r w:rsidR="00B64D8B">
        <w:t xml:space="preserve">a freelance </w:t>
      </w:r>
      <w:r w:rsidR="0006772E">
        <w:t xml:space="preserve">legal </w:t>
      </w:r>
      <w:r w:rsidR="008B1882">
        <w:t xml:space="preserve">writer. Heather is </w:t>
      </w:r>
      <w:r w:rsidR="00371169">
        <w:t xml:space="preserve">also </w:t>
      </w:r>
      <w:r w:rsidR="008B1882">
        <w:t>a</w:t>
      </w:r>
      <w:r w:rsidR="0000329C">
        <w:t xml:space="preserve"> Member at Large </w:t>
      </w:r>
      <w:r w:rsidR="008B1882">
        <w:t xml:space="preserve">on </w:t>
      </w:r>
      <w:r w:rsidR="00B64D8B">
        <w:t>two OBA Section Executives</w:t>
      </w:r>
      <w:r w:rsidR="002C32B4">
        <w:t xml:space="preserve">: </w:t>
      </w:r>
      <w:r w:rsidR="00B64D8B">
        <w:t>Constitutional, Civil Liberties and Human Rights</w:t>
      </w:r>
      <w:r w:rsidR="002C32B4">
        <w:t>,</w:t>
      </w:r>
      <w:r w:rsidR="00B64D8B">
        <w:t xml:space="preserve"> and Administrative Law.</w:t>
      </w:r>
    </w:p>
    <w:p w14:paraId="7840171F" w14:textId="77777777" w:rsidR="00F94EEB" w:rsidRDefault="006850D5">
      <w:r>
        <w:t xml:space="preserve"> </w:t>
      </w:r>
    </w:p>
    <w:sectPr w:rsidR="00F94EE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B9CC" w14:textId="77777777" w:rsidR="008A2977" w:rsidRDefault="008A2977" w:rsidP="00FA0F70">
      <w:pPr>
        <w:spacing w:after="0" w:line="240" w:lineRule="auto"/>
      </w:pPr>
      <w:r>
        <w:separator/>
      </w:r>
    </w:p>
  </w:endnote>
  <w:endnote w:type="continuationSeparator" w:id="0">
    <w:p w14:paraId="3B05BE77" w14:textId="77777777" w:rsidR="008A2977" w:rsidRDefault="008A2977" w:rsidP="00FA0F70">
      <w:pPr>
        <w:spacing w:after="0" w:line="240" w:lineRule="auto"/>
      </w:pPr>
      <w:r>
        <w:continuationSeparator/>
      </w:r>
    </w:p>
  </w:endnote>
  <w:endnote w:id="1">
    <w:p w14:paraId="0294EB17" w14:textId="77777777" w:rsidR="00E8154F" w:rsidRDefault="00E8154F" w:rsidP="00CD326C">
      <w:pPr>
        <w:pStyle w:val="EndnoteText"/>
      </w:pPr>
      <w:r>
        <w:t>ENDNOTES</w:t>
      </w:r>
    </w:p>
    <w:p w14:paraId="260B7E8A" w14:textId="77777777" w:rsidR="00E8154F" w:rsidRDefault="00E8154F" w:rsidP="00CD326C">
      <w:pPr>
        <w:pStyle w:val="EndnoteText"/>
      </w:pPr>
    </w:p>
    <w:p w14:paraId="22023BEB" w14:textId="77777777" w:rsidR="00E8154F" w:rsidRDefault="00E8154F" w:rsidP="00CD326C">
      <w:pPr>
        <w:pStyle w:val="EndnoteText"/>
      </w:pPr>
      <w:r>
        <w:rPr>
          <w:rStyle w:val="EndnoteReference"/>
        </w:rPr>
        <w:endnoteRef/>
      </w:r>
      <w:r>
        <w:t xml:space="preserve"> </w:t>
      </w:r>
      <w:r w:rsidRPr="00247C19">
        <w:rPr>
          <w:i/>
        </w:rPr>
        <w:t>Schmidt v Canada (Attorney General)</w:t>
      </w:r>
      <w:r>
        <w:t xml:space="preserve">, </w:t>
      </w:r>
      <w:r w:rsidRPr="00247C19">
        <w:t>2016 FC 269</w:t>
      </w:r>
      <w:r>
        <w:t xml:space="preserve"> [“</w:t>
      </w:r>
      <w:r w:rsidRPr="007A21F5">
        <w:rPr>
          <w:i/>
        </w:rPr>
        <w:t>Schmidt</w:t>
      </w:r>
      <w:r>
        <w:t>”].</w:t>
      </w:r>
    </w:p>
  </w:endnote>
  <w:endnote w:id="2">
    <w:p w14:paraId="4AC1714D" w14:textId="77777777" w:rsidR="00E8154F" w:rsidRDefault="00E8154F" w:rsidP="00CD326C">
      <w:pPr>
        <w:pStyle w:val="EndnoteText"/>
      </w:pPr>
      <w:r>
        <w:rPr>
          <w:rStyle w:val="EndnoteReference"/>
        </w:rPr>
        <w:endnoteRef/>
      </w:r>
      <w:r>
        <w:t xml:space="preserve"> </w:t>
      </w:r>
      <w:r w:rsidRPr="006E7E41">
        <w:t>RSC 1985, c J-2</w:t>
      </w:r>
      <w:r>
        <w:t>, s 4.1(1).</w:t>
      </w:r>
    </w:p>
  </w:endnote>
  <w:endnote w:id="3">
    <w:p w14:paraId="7A246306" w14:textId="77777777" w:rsidR="00E8154F" w:rsidRDefault="00E8154F">
      <w:pPr>
        <w:pStyle w:val="EndnoteText"/>
      </w:pPr>
      <w:r>
        <w:rPr>
          <w:rStyle w:val="EndnoteReference"/>
        </w:rPr>
        <w:endnoteRef/>
      </w:r>
      <w:r>
        <w:t xml:space="preserve"> Canadian Civil Liberties Association, “</w:t>
      </w:r>
      <w:r w:rsidRPr="00406C66">
        <w:rPr>
          <w:i/>
        </w:rPr>
        <w:t>Charter</w:t>
      </w:r>
      <w:r>
        <w:t xml:space="preserve"> First: A Blueprint for Prioritizing Rights in Canadian Lawmaking” (Toronto: CCLA, September 2016) [“</w:t>
      </w:r>
      <w:r w:rsidRPr="00406C66">
        <w:rPr>
          <w:i/>
        </w:rPr>
        <w:t>Charter</w:t>
      </w:r>
      <w:r>
        <w:t xml:space="preserve"> First”].</w:t>
      </w:r>
    </w:p>
  </w:endnote>
  <w:endnote w:id="4">
    <w:p w14:paraId="60F7C507" w14:textId="77777777" w:rsidR="00E8154F" w:rsidRDefault="00E8154F">
      <w:pPr>
        <w:pStyle w:val="EndnoteText"/>
      </w:pPr>
      <w:r>
        <w:rPr>
          <w:rStyle w:val="EndnoteReference"/>
        </w:rPr>
        <w:endnoteRef/>
      </w:r>
      <w:r>
        <w:t xml:space="preserve"> </w:t>
      </w:r>
      <w:r w:rsidRPr="004A6CCF">
        <w:rPr>
          <w:i/>
        </w:rPr>
        <w:t>Canadian Charter of Rights and Freedoms</w:t>
      </w:r>
      <w:r w:rsidRPr="004A6CCF">
        <w:t xml:space="preserve">, Part I of the </w:t>
      </w:r>
      <w:r w:rsidRPr="004A6CCF">
        <w:rPr>
          <w:i/>
        </w:rPr>
        <w:t>Constitution Act, 1982</w:t>
      </w:r>
      <w:r w:rsidRPr="004A6CCF">
        <w:t xml:space="preserve">, being Schedule B to the </w:t>
      </w:r>
      <w:r w:rsidRPr="004A6CCF">
        <w:rPr>
          <w:i/>
        </w:rPr>
        <w:t>Canada Act 1982 (UK)</w:t>
      </w:r>
      <w:r>
        <w:t>, 1982, c 11</w:t>
      </w:r>
      <w:r w:rsidRPr="004A6CCF">
        <w:t>.</w:t>
      </w:r>
    </w:p>
  </w:endnote>
  <w:endnote w:id="5">
    <w:p w14:paraId="1C4E9475" w14:textId="77777777" w:rsidR="00E8154F" w:rsidRDefault="00E8154F">
      <w:pPr>
        <w:pStyle w:val="EndnoteText"/>
      </w:pPr>
      <w:r>
        <w:rPr>
          <w:rStyle w:val="EndnoteReference"/>
        </w:rPr>
        <w:endnoteRef/>
      </w:r>
      <w:r>
        <w:t xml:space="preserve"> “</w:t>
      </w:r>
      <w:r w:rsidRPr="00417A71">
        <w:rPr>
          <w:i/>
        </w:rPr>
        <w:t>Charter</w:t>
      </w:r>
      <w:r>
        <w:t xml:space="preserve"> First”, </w:t>
      </w:r>
      <w:r w:rsidRPr="00417A71">
        <w:rPr>
          <w:i/>
        </w:rPr>
        <w:t>supra</w:t>
      </w:r>
      <w:r>
        <w:t xml:space="preserve"> note 1 at iii.</w:t>
      </w:r>
    </w:p>
  </w:endnote>
  <w:endnote w:id="6">
    <w:p w14:paraId="0DA20A19" w14:textId="77777777" w:rsidR="00E8154F" w:rsidRDefault="00E8154F">
      <w:pPr>
        <w:pStyle w:val="EndnoteText"/>
      </w:pPr>
      <w:r>
        <w:rPr>
          <w:rStyle w:val="EndnoteReference"/>
        </w:rPr>
        <w:endnoteRef/>
      </w:r>
      <w:r>
        <w:t xml:space="preserve"> Most unusually, the Trudeau Government waived privilege and appended a Charter analysis to the “Legislative Background” posted on its website after the Bill was tabled. See Her Majesty the Queen in Right of Canada, represented by the Minister of Justice and Attorney General of Canada, Department of Justice, “Legislative Background: Medical Assistance in Dying (Bill C-14, as Assented to on June 17, 2016)”, June 2016, at 20; accessed at </w:t>
      </w:r>
      <w:hyperlink r:id="rId1" w:history="1">
        <w:r w:rsidRPr="00CA44F0">
          <w:rPr>
            <w:rStyle w:val="Hyperlink"/>
          </w:rPr>
          <w:t>http://www.justice.gc.ca/eng/rp-pr/other-autre/adra-amsr/</w:t>
        </w:r>
      </w:hyperlink>
      <w:r>
        <w:t xml:space="preserve">, October 2016 [“Legislative Background”]. That initial </w:t>
      </w:r>
      <w:r w:rsidRPr="00641783">
        <w:rPr>
          <w:i/>
        </w:rPr>
        <w:t>Charter</w:t>
      </w:r>
      <w:r>
        <w:t xml:space="preserve"> analysis was widely viewed as inadequate (see the critiques reproduced at 38-41 of “</w:t>
      </w:r>
      <w:r w:rsidRPr="00641783">
        <w:rPr>
          <w:i/>
        </w:rPr>
        <w:t>Charter</w:t>
      </w:r>
      <w:r>
        <w:t xml:space="preserve"> First”, so the Government posted an “Addendum” defending the constitutionality of the requirement that “natural death” be “reasonably foreseeable”. See Canada, Department of Justice, “</w:t>
      </w:r>
      <w:r w:rsidRPr="00944D1B">
        <w:t xml:space="preserve">Legislative Background: Medical Assistance in Dying (Bill C-14) </w:t>
      </w:r>
      <w:r>
        <w:t>–</w:t>
      </w:r>
      <w:r w:rsidRPr="00944D1B">
        <w:t xml:space="preserve"> Addendum</w:t>
      </w:r>
      <w:r>
        <w:t>:</w:t>
      </w:r>
      <w:r w:rsidRPr="00944D1B">
        <w:t xml:space="preserve"> Bill C-14's requirement that natural death has become reasonably foreseeable (s. 241.2(2)(d))</w:t>
      </w:r>
      <w:r>
        <w:t xml:space="preserve">”, accessed at </w:t>
      </w:r>
      <w:hyperlink r:id="rId2" w:history="1">
        <w:r w:rsidRPr="00CA44F0">
          <w:rPr>
            <w:rStyle w:val="Hyperlink"/>
          </w:rPr>
          <w:t>http://www.justice.gc.ca/eng/rp-pr/other-autre/addend/index.html</w:t>
        </w:r>
      </w:hyperlink>
      <w:r>
        <w:t>, October 2016 [“Addendum”].</w:t>
      </w:r>
    </w:p>
  </w:endnote>
  <w:endnote w:id="7">
    <w:p w14:paraId="1C6A2066"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w:t>
      </w:r>
      <w:r w:rsidRPr="0060366E">
        <w:t>para 19</w:t>
      </w:r>
      <w:r>
        <w:t>.</w:t>
      </w:r>
    </w:p>
  </w:endnote>
  <w:endnote w:id="8">
    <w:p w14:paraId="2E69AF30" w14:textId="77777777" w:rsidR="00E8154F" w:rsidRDefault="00E8154F">
      <w:pPr>
        <w:pStyle w:val="EndnoteText"/>
      </w:pPr>
      <w:r>
        <w:rPr>
          <w:rStyle w:val="EndnoteReference"/>
        </w:rPr>
        <w:endnoteRef/>
      </w:r>
      <w:r>
        <w:t xml:space="preserve"> “</w:t>
      </w:r>
      <w:r w:rsidRPr="004F2456">
        <w:rPr>
          <w:i/>
        </w:rPr>
        <w:t>Charter</w:t>
      </w:r>
      <w:r>
        <w:t xml:space="preserve"> First”, </w:t>
      </w:r>
      <w:r w:rsidRPr="004F2456">
        <w:rPr>
          <w:i/>
        </w:rPr>
        <w:t>supra</w:t>
      </w:r>
      <w:r>
        <w:t xml:space="preserve"> note 1 at ii.</w:t>
      </w:r>
    </w:p>
  </w:endnote>
  <w:endnote w:id="9">
    <w:p w14:paraId="27729EE1"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200.</w:t>
      </w:r>
    </w:p>
  </w:endnote>
  <w:endnote w:id="10">
    <w:p w14:paraId="7345DA6D"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217.</w:t>
      </w:r>
    </w:p>
  </w:endnote>
  <w:endnote w:id="11">
    <w:p w14:paraId="59D98CBE"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245.</w:t>
      </w:r>
    </w:p>
  </w:endnote>
  <w:endnote w:id="12">
    <w:p w14:paraId="09F94CB0"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248.</w:t>
      </w:r>
    </w:p>
  </w:endnote>
  <w:endnote w:id="13">
    <w:p w14:paraId="3BFFB27C"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250.</w:t>
      </w:r>
    </w:p>
  </w:endnote>
  <w:endnote w:id="14">
    <w:p w14:paraId="5B6F21E0"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252.</w:t>
      </w:r>
    </w:p>
  </w:endnote>
  <w:endnote w:id="15">
    <w:p w14:paraId="51737E9E" w14:textId="77777777" w:rsidR="00E8154F" w:rsidRDefault="00E8154F" w:rsidP="00295D45">
      <w:pPr>
        <w:pStyle w:val="EndnoteText"/>
      </w:pPr>
      <w:r>
        <w:rPr>
          <w:rStyle w:val="EndnoteReference"/>
        </w:rPr>
        <w:endnoteRef/>
      </w:r>
      <w:r>
        <w:t xml:space="preserve"> </w:t>
      </w:r>
      <w:r w:rsidRPr="002806D2">
        <w:rPr>
          <w:i/>
        </w:rPr>
        <w:t>Carter v Canada (Attorney General)</w:t>
      </w:r>
      <w:r>
        <w:t>, 2015 SCC 5, [2015] 1 SCR 331.</w:t>
      </w:r>
    </w:p>
  </w:endnote>
  <w:endnote w:id="16">
    <w:p w14:paraId="56CD50FC" w14:textId="77777777" w:rsidR="00E8154F" w:rsidRDefault="00E8154F">
      <w:pPr>
        <w:pStyle w:val="EndnoteText"/>
      </w:pPr>
      <w:r>
        <w:rPr>
          <w:rStyle w:val="EndnoteReference"/>
        </w:rPr>
        <w:endnoteRef/>
      </w:r>
      <w:r>
        <w:t xml:space="preserve"> </w:t>
      </w:r>
      <w:r w:rsidRPr="00F66C60">
        <w:rPr>
          <w:i/>
        </w:rPr>
        <w:t>Canada (Attorney General) v Bedford</w:t>
      </w:r>
      <w:r>
        <w:t xml:space="preserve">, </w:t>
      </w:r>
      <w:r w:rsidRPr="005620E0">
        <w:t>2013 SCC 72</w:t>
      </w:r>
      <w:r>
        <w:t xml:space="preserve">, </w:t>
      </w:r>
      <w:r w:rsidRPr="00F66C60">
        <w:t>[2013] 3 SCR 1101</w:t>
      </w:r>
      <w:r>
        <w:t>.</w:t>
      </w:r>
    </w:p>
  </w:endnote>
  <w:endnote w:id="17">
    <w:p w14:paraId="1DA8A85E" w14:textId="77777777" w:rsidR="00E8154F" w:rsidRDefault="00E8154F">
      <w:pPr>
        <w:pStyle w:val="EndnoteText"/>
      </w:pPr>
      <w:r>
        <w:rPr>
          <w:rStyle w:val="EndnoteReference"/>
        </w:rPr>
        <w:endnoteRef/>
      </w:r>
      <w:r>
        <w:t xml:space="preserve"> The list includes </w:t>
      </w:r>
      <w:r w:rsidRPr="00173873">
        <w:rPr>
          <w:i/>
        </w:rPr>
        <w:t>Canada (Attorney General) v Federation of Law Societies of Canada</w:t>
      </w:r>
      <w:r w:rsidRPr="002568AB">
        <w:t>, 2015 SCC 7, [2015] 1 SCR 401</w:t>
      </w:r>
      <w:r>
        <w:t xml:space="preserve">; </w:t>
      </w:r>
      <w:r w:rsidRPr="00173873">
        <w:rPr>
          <w:i/>
        </w:rPr>
        <w:t>R v Smith</w:t>
      </w:r>
      <w:r w:rsidRPr="001A4DAE">
        <w:t>, 2015 SCC 34</w:t>
      </w:r>
      <w:r>
        <w:t xml:space="preserve">, </w:t>
      </w:r>
      <w:r w:rsidRPr="001A4DAE">
        <w:t>[2015] 2 SCR 602</w:t>
      </w:r>
      <w:r>
        <w:t xml:space="preserve">; </w:t>
      </w:r>
      <w:r w:rsidRPr="00751483">
        <w:rPr>
          <w:i/>
        </w:rPr>
        <w:t xml:space="preserve">R v </w:t>
      </w:r>
      <w:proofErr w:type="spellStart"/>
      <w:r w:rsidRPr="00751483">
        <w:rPr>
          <w:i/>
        </w:rPr>
        <w:t>Nur</w:t>
      </w:r>
      <w:proofErr w:type="spellEnd"/>
      <w:r w:rsidRPr="001C40AC">
        <w:t>, 2015 SCC 15</w:t>
      </w:r>
      <w:r>
        <w:t xml:space="preserve">, </w:t>
      </w:r>
      <w:r w:rsidRPr="001C40AC">
        <w:t>2015] 1 SCR 773</w:t>
      </w:r>
      <w:r>
        <w:t xml:space="preserve"> [“</w:t>
      </w:r>
      <w:proofErr w:type="spellStart"/>
      <w:r w:rsidRPr="00DB5DD8">
        <w:rPr>
          <w:i/>
        </w:rPr>
        <w:t>Nur</w:t>
      </w:r>
      <w:proofErr w:type="spellEnd"/>
      <w:r>
        <w:t xml:space="preserve">”]; </w:t>
      </w:r>
      <w:r w:rsidRPr="00E543E9">
        <w:rPr>
          <w:i/>
        </w:rPr>
        <w:t>Canada (Attorney General) v Whaling</w:t>
      </w:r>
      <w:r w:rsidRPr="009F20B1">
        <w:t>, 2014 SCC 20, [2014] 1 SCR 392</w:t>
      </w:r>
      <w:r>
        <w:t xml:space="preserve">; </w:t>
      </w:r>
      <w:r w:rsidRPr="00E543E9">
        <w:rPr>
          <w:i/>
        </w:rPr>
        <w:t xml:space="preserve">R v </w:t>
      </w:r>
      <w:proofErr w:type="spellStart"/>
      <w:r w:rsidRPr="00E543E9">
        <w:rPr>
          <w:i/>
        </w:rPr>
        <w:t>Tse</w:t>
      </w:r>
      <w:proofErr w:type="spellEnd"/>
      <w:r w:rsidRPr="00EE298D">
        <w:t>, 2012 SCC 16, [2012] 1 SCR 531</w:t>
      </w:r>
      <w:r>
        <w:t xml:space="preserve">; </w:t>
      </w:r>
      <w:proofErr w:type="spellStart"/>
      <w:r w:rsidRPr="00E543E9">
        <w:rPr>
          <w:i/>
        </w:rPr>
        <w:t>Charkaoui</w:t>
      </w:r>
      <w:proofErr w:type="spellEnd"/>
      <w:r w:rsidRPr="00E543E9">
        <w:rPr>
          <w:i/>
        </w:rPr>
        <w:t xml:space="preserve"> v Canada (Citizenship and Immigration)</w:t>
      </w:r>
      <w:r w:rsidRPr="006B4808">
        <w:t>, 2007 SCC 9, [2007] 1 SCR 350</w:t>
      </w:r>
      <w:r>
        <w:t xml:space="preserve">; and </w:t>
      </w:r>
      <w:r w:rsidRPr="00E543E9">
        <w:rPr>
          <w:i/>
        </w:rPr>
        <w:t xml:space="preserve">Canada (Attorney General) v </w:t>
      </w:r>
      <w:proofErr w:type="spellStart"/>
      <w:r w:rsidRPr="00E543E9">
        <w:rPr>
          <w:i/>
        </w:rPr>
        <w:t>Hislop</w:t>
      </w:r>
      <w:proofErr w:type="spellEnd"/>
      <w:r w:rsidRPr="00AF6063">
        <w:t>, 2007 SCC 10, [2007] 1 SCR 429</w:t>
      </w:r>
      <w:r>
        <w:t>.</w:t>
      </w:r>
    </w:p>
  </w:endnote>
  <w:endnote w:id="18">
    <w:p w14:paraId="6A4FE94D" w14:textId="77777777" w:rsidR="00E8154F" w:rsidRDefault="00E8154F">
      <w:pPr>
        <w:pStyle w:val="EndnoteText"/>
      </w:pPr>
      <w:r>
        <w:rPr>
          <w:rStyle w:val="EndnoteReference"/>
        </w:rPr>
        <w:endnoteRef/>
      </w:r>
      <w:r>
        <w:t xml:space="preserve"> See “Hijinks with How Numbers are </w:t>
      </w:r>
      <w:proofErr w:type="gramStart"/>
      <w:r>
        <w:t>Reported</w:t>
      </w:r>
      <w:proofErr w:type="gramEnd"/>
      <w:r>
        <w:t xml:space="preserve">” in Part I of Daniel J. Levitin, </w:t>
      </w:r>
      <w:r w:rsidRPr="00DA159D">
        <w:rPr>
          <w:i/>
        </w:rPr>
        <w:t>A Field Guide to Lies: Critical Thinking in the Information Age</w:t>
      </w:r>
      <w:r>
        <w:t xml:space="preserve"> (Penguin, 2016). Please note: the reference to the book’s title should not be construed as an accusation of deliberate dishonesty against any person.</w:t>
      </w:r>
    </w:p>
  </w:endnote>
  <w:endnote w:id="19">
    <w:p w14:paraId="16B60FEF" w14:textId="77777777" w:rsidR="00E8154F" w:rsidRDefault="00E8154F" w:rsidP="005240F2">
      <w:pPr>
        <w:pStyle w:val="EndnoteText"/>
      </w:pPr>
      <w:r>
        <w:rPr>
          <w:rStyle w:val="EndnoteReference"/>
        </w:rPr>
        <w:endnoteRef/>
      </w:r>
      <w:r>
        <w:t xml:space="preserve"> </w:t>
      </w:r>
      <w:r w:rsidRPr="00A96AD9">
        <w:rPr>
          <w:i/>
        </w:rPr>
        <w:t>Rodriguez v British Columbia (Attorney General)</w:t>
      </w:r>
      <w:r>
        <w:t>, [1993] 3 SCR 519.</w:t>
      </w:r>
    </w:p>
  </w:endnote>
  <w:endnote w:id="20">
    <w:p w14:paraId="618DF8F2" w14:textId="77777777" w:rsidR="00E8154F" w:rsidRDefault="00E8154F">
      <w:pPr>
        <w:pStyle w:val="EndnoteText"/>
      </w:pPr>
      <w:r>
        <w:rPr>
          <w:rStyle w:val="EndnoteReference"/>
        </w:rPr>
        <w:endnoteRef/>
      </w:r>
      <w:r>
        <w:t xml:space="preserve"> </w:t>
      </w:r>
      <w:r w:rsidRPr="00CF2057">
        <w:rPr>
          <w:i/>
        </w:rPr>
        <w:t>Carter v Canada (Attorney General)</w:t>
      </w:r>
      <w:r>
        <w:t xml:space="preserve">, </w:t>
      </w:r>
      <w:r w:rsidRPr="00CF2057">
        <w:t>2013 BCCA 435</w:t>
      </w:r>
      <w:r>
        <w:t>.</w:t>
      </w:r>
    </w:p>
  </w:endnote>
  <w:endnote w:id="21">
    <w:p w14:paraId="1E9453CD" w14:textId="77777777" w:rsidR="00E8154F" w:rsidRDefault="00E8154F">
      <w:pPr>
        <w:pStyle w:val="EndnoteText"/>
      </w:pPr>
      <w:r>
        <w:rPr>
          <w:rStyle w:val="EndnoteReference"/>
        </w:rPr>
        <w:endnoteRef/>
      </w:r>
      <w:r>
        <w:t xml:space="preserve"> </w:t>
      </w:r>
      <w:proofErr w:type="spellStart"/>
      <w:r w:rsidRPr="00DB5DD8">
        <w:rPr>
          <w:i/>
        </w:rPr>
        <w:t>Nur</w:t>
      </w:r>
      <w:proofErr w:type="spellEnd"/>
      <w:r>
        <w:t xml:space="preserve">, </w:t>
      </w:r>
      <w:r w:rsidRPr="00DB5DD8">
        <w:rPr>
          <w:i/>
        </w:rPr>
        <w:t>supra</w:t>
      </w:r>
      <w:r>
        <w:t xml:space="preserve"> note 17 at para 132.</w:t>
      </w:r>
    </w:p>
  </w:endnote>
  <w:endnote w:id="22">
    <w:p w14:paraId="3B5FAAED"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261.</w:t>
      </w:r>
    </w:p>
  </w:endnote>
  <w:endnote w:id="23">
    <w:p w14:paraId="602D1C90" w14:textId="77777777" w:rsidR="00E8154F" w:rsidRDefault="00E8154F">
      <w:pPr>
        <w:pStyle w:val="EndnoteText"/>
      </w:pPr>
      <w:r>
        <w:rPr>
          <w:rStyle w:val="EndnoteReference"/>
        </w:rPr>
        <w:endnoteRef/>
      </w:r>
      <w:r>
        <w:t xml:space="preserve"> </w:t>
      </w:r>
      <w:r w:rsidRPr="00F10D7E">
        <w:rPr>
          <w:i/>
        </w:rPr>
        <w:t>Schmidt</w:t>
      </w:r>
      <w:r>
        <w:t xml:space="preserve">, </w:t>
      </w:r>
      <w:r w:rsidRPr="00F10D7E">
        <w:rPr>
          <w:i/>
        </w:rPr>
        <w:t>supra</w:t>
      </w:r>
      <w:r>
        <w:t xml:space="preserve"> note 3 at para 262.</w:t>
      </w:r>
    </w:p>
  </w:endnote>
  <w:endnote w:id="24">
    <w:p w14:paraId="3DADB1AE" w14:textId="77777777" w:rsidR="00E8154F" w:rsidRDefault="00E8154F">
      <w:pPr>
        <w:pStyle w:val="EndnoteText"/>
      </w:pPr>
      <w:r>
        <w:rPr>
          <w:rStyle w:val="EndnoteReference"/>
        </w:rPr>
        <w:endnoteRef/>
      </w:r>
      <w:r>
        <w:t xml:space="preserve"> “</w:t>
      </w:r>
      <w:r w:rsidRPr="00F566A4">
        <w:rPr>
          <w:i/>
        </w:rPr>
        <w:t>Charter</w:t>
      </w:r>
      <w:r>
        <w:t xml:space="preserve"> First”, </w:t>
      </w:r>
      <w:r w:rsidRPr="00F566A4">
        <w:rPr>
          <w:i/>
        </w:rPr>
        <w:t>supra</w:t>
      </w:r>
      <w:r>
        <w:t xml:space="preserve"> note 1 at 47.</w:t>
      </w:r>
    </w:p>
  </w:endnote>
  <w:endnote w:id="25">
    <w:p w14:paraId="4B86333B" w14:textId="77777777" w:rsidR="00E8154F" w:rsidRDefault="00E8154F" w:rsidP="00BF1A8E">
      <w:pPr>
        <w:pStyle w:val="EndnoteText"/>
      </w:pPr>
      <w:r>
        <w:rPr>
          <w:rStyle w:val="EndnoteReference"/>
        </w:rPr>
        <w:endnoteRef/>
      </w:r>
      <w:r>
        <w:t xml:space="preserve"> </w:t>
      </w:r>
      <w:r w:rsidRPr="007302AC">
        <w:rPr>
          <w:i/>
        </w:rPr>
        <w:t>Babcock v Canada (Attorney General)</w:t>
      </w:r>
      <w:r>
        <w:t xml:space="preserve">, 2002 SCC 57, </w:t>
      </w:r>
      <w:r w:rsidRPr="00E365B4">
        <w:t>[2002] 3 SCR</w:t>
      </w:r>
      <w:r>
        <w:t xml:space="preserve"> 3 at para 15 [“</w:t>
      </w:r>
      <w:r w:rsidRPr="006754A2">
        <w:rPr>
          <w:i/>
        </w:rPr>
        <w:t>Babcock</w:t>
      </w:r>
      <w:r>
        <w:t>”].</w:t>
      </w:r>
    </w:p>
  </w:endnote>
  <w:endnote w:id="26">
    <w:p w14:paraId="76684229" w14:textId="77777777" w:rsidR="00E8154F" w:rsidRDefault="00E8154F">
      <w:pPr>
        <w:pStyle w:val="EndnoteText"/>
      </w:pPr>
      <w:r>
        <w:rPr>
          <w:rStyle w:val="EndnoteReference"/>
        </w:rPr>
        <w:endnoteRef/>
      </w:r>
      <w:r>
        <w:t xml:space="preserve"> </w:t>
      </w:r>
      <w:r w:rsidRPr="00705B99">
        <w:rPr>
          <w:i/>
        </w:rPr>
        <w:t>Babcock</w:t>
      </w:r>
      <w:r>
        <w:t xml:space="preserve">, </w:t>
      </w:r>
      <w:r w:rsidRPr="00705B99">
        <w:rPr>
          <w:i/>
        </w:rPr>
        <w:t>supra</w:t>
      </w:r>
      <w:r>
        <w:t xml:space="preserve"> note 25 at para 18 [citation omitted].</w:t>
      </w:r>
    </w:p>
  </w:endnote>
  <w:endnote w:id="27">
    <w:p w14:paraId="18BF1609" w14:textId="77777777" w:rsidR="00E8154F" w:rsidRDefault="00E8154F">
      <w:pPr>
        <w:pStyle w:val="EndnoteText"/>
      </w:pPr>
      <w:r>
        <w:rPr>
          <w:rStyle w:val="EndnoteReference"/>
        </w:rPr>
        <w:endnoteRef/>
      </w:r>
      <w:r>
        <w:t xml:space="preserve"> </w:t>
      </w:r>
      <w:r w:rsidRPr="008C398A">
        <w:rPr>
          <w:i/>
        </w:rPr>
        <w:t>Canada (Privacy Commissioner) v Blood Tribe Department of Health</w:t>
      </w:r>
      <w:r w:rsidRPr="00283553">
        <w:t>, 2008 SCC 44</w:t>
      </w:r>
      <w:r>
        <w:t>, [2008] 2 SCR 574</w:t>
      </w:r>
      <w:r w:rsidRPr="00283553">
        <w:t xml:space="preserve"> </w:t>
      </w:r>
      <w:r>
        <w:t>at para 9.</w:t>
      </w:r>
    </w:p>
  </w:endnote>
  <w:endnote w:id="28">
    <w:p w14:paraId="75BD038D" w14:textId="15910F90" w:rsidR="00E8154F" w:rsidRDefault="00E8154F">
      <w:pPr>
        <w:pStyle w:val="EndnoteText"/>
      </w:pPr>
      <w:r>
        <w:rPr>
          <w:rStyle w:val="EndnoteReference"/>
        </w:rPr>
        <w:endnoteRef/>
      </w:r>
      <w:r>
        <w:t xml:space="preserve"> </w:t>
      </w:r>
      <w:r w:rsidRPr="00802A5D">
        <w:rPr>
          <w:i/>
        </w:rPr>
        <w:t>R v McClure</w:t>
      </w:r>
      <w:r w:rsidRPr="008759E0">
        <w:t>, 2001 SCC 14</w:t>
      </w:r>
      <w:r>
        <w:t>, [2001] 1 SCR 445 at para</w:t>
      </w:r>
      <w:r w:rsidRPr="008759E0">
        <w:t xml:space="preserve"> </w:t>
      </w:r>
      <w:r>
        <w:t>41 [“</w:t>
      </w:r>
      <w:r w:rsidRPr="009D7AB4">
        <w:rPr>
          <w:i/>
        </w:rPr>
        <w:t>McClure</w:t>
      </w:r>
      <w:r>
        <w:t xml:space="preserve">”]; </w:t>
      </w:r>
      <w:proofErr w:type="spellStart"/>
      <w:r w:rsidRPr="00802A5D">
        <w:rPr>
          <w:i/>
        </w:rPr>
        <w:t>Lavallee</w:t>
      </w:r>
      <w:proofErr w:type="spellEnd"/>
      <w:r w:rsidRPr="00802A5D">
        <w:rPr>
          <w:i/>
        </w:rPr>
        <w:t xml:space="preserve">, </w:t>
      </w:r>
      <w:proofErr w:type="spellStart"/>
      <w:r w:rsidRPr="00802A5D">
        <w:rPr>
          <w:i/>
        </w:rPr>
        <w:t>Rackel</w:t>
      </w:r>
      <w:proofErr w:type="spellEnd"/>
      <w:r w:rsidRPr="00802A5D">
        <w:rPr>
          <w:i/>
        </w:rPr>
        <w:t xml:space="preserve"> &amp; </w:t>
      </w:r>
      <w:proofErr w:type="spellStart"/>
      <w:r w:rsidRPr="00802A5D">
        <w:rPr>
          <w:i/>
        </w:rPr>
        <w:t>Heintz</w:t>
      </w:r>
      <w:proofErr w:type="spellEnd"/>
      <w:r w:rsidRPr="00802A5D">
        <w:rPr>
          <w:i/>
        </w:rPr>
        <w:t xml:space="preserve"> v Canada (Attorney General); White, </w:t>
      </w:r>
      <w:proofErr w:type="spellStart"/>
      <w:r w:rsidRPr="00802A5D">
        <w:rPr>
          <w:i/>
        </w:rPr>
        <w:t>Ottenheimer</w:t>
      </w:r>
      <w:proofErr w:type="spellEnd"/>
      <w:r w:rsidRPr="00802A5D">
        <w:rPr>
          <w:i/>
        </w:rPr>
        <w:t xml:space="preserve"> &amp; Baker v Canada (Attorney General); R v Fink</w:t>
      </w:r>
      <w:r w:rsidRPr="00B44E93">
        <w:t>, 2002 SCC 61</w:t>
      </w:r>
      <w:r>
        <w:t>, [2002] 3 SCR 209</w:t>
      </w:r>
      <w:r w:rsidRPr="00B44E93">
        <w:t xml:space="preserve"> </w:t>
      </w:r>
      <w:r>
        <w:t>at para 21</w:t>
      </w:r>
      <w:r w:rsidR="00055624">
        <w:t xml:space="preserve"> [“</w:t>
      </w:r>
      <w:proofErr w:type="spellStart"/>
      <w:r w:rsidR="00055624" w:rsidRPr="00203696">
        <w:rPr>
          <w:i/>
        </w:rPr>
        <w:t>Lavallee</w:t>
      </w:r>
      <w:proofErr w:type="spellEnd"/>
      <w:r w:rsidR="00055624">
        <w:t>”]</w:t>
      </w:r>
      <w:r>
        <w:t xml:space="preserve">; </w:t>
      </w:r>
      <w:r w:rsidRPr="00802A5D">
        <w:rPr>
          <w:i/>
        </w:rPr>
        <w:t>Canada (National Revenue) v Thompson</w:t>
      </w:r>
      <w:r w:rsidRPr="009E6428">
        <w:t>, 2016 SCC 21</w:t>
      </w:r>
      <w:r>
        <w:t xml:space="preserve"> at para 17 [“</w:t>
      </w:r>
      <w:r w:rsidRPr="008E5CDD">
        <w:rPr>
          <w:i/>
        </w:rPr>
        <w:t>Thompson</w:t>
      </w:r>
      <w:r>
        <w:t>”].</w:t>
      </w:r>
    </w:p>
  </w:endnote>
  <w:endnote w:id="29">
    <w:p w14:paraId="0FBB2CF6" w14:textId="790EC5A6" w:rsidR="00055624" w:rsidRDefault="00055624">
      <w:pPr>
        <w:pStyle w:val="EndnoteText"/>
      </w:pPr>
      <w:r>
        <w:rPr>
          <w:rStyle w:val="EndnoteReference"/>
        </w:rPr>
        <w:endnoteRef/>
      </w:r>
      <w:r>
        <w:t xml:space="preserve"> </w:t>
      </w:r>
      <w:proofErr w:type="spellStart"/>
      <w:r w:rsidRPr="00203696">
        <w:rPr>
          <w:i/>
        </w:rPr>
        <w:t>Lavallee</w:t>
      </w:r>
      <w:proofErr w:type="spellEnd"/>
      <w:r>
        <w:t xml:space="preserve">, </w:t>
      </w:r>
      <w:r w:rsidRPr="00203696">
        <w:rPr>
          <w:i/>
        </w:rPr>
        <w:t>supra</w:t>
      </w:r>
      <w:r>
        <w:t xml:space="preserve"> note 28 at para 36.</w:t>
      </w:r>
    </w:p>
  </w:endnote>
  <w:endnote w:id="30">
    <w:p w14:paraId="6F3E1F79" w14:textId="77777777" w:rsidR="00E8154F" w:rsidRDefault="00E8154F">
      <w:pPr>
        <w:pStyle w:val="EndnoteText"/>
      </w:pPr>
      <w:r>
        <w:rPr>
          <w:rStyle w:val="EndnoteReference"/>
        </w:rPr>
        <w:endnoteRef/>
      </w:r>
      <w:r>
        <w:t xml:space="preserve"> </w:t>
      </w:r>
      <w:r w:rsidRPr="00C84E43">
        <w:rPr>
          <w:i/>
        </w:rPr>
        <w:t>Ontario (Public Safety and Security) v Criminal Lawyers’ Association</w:t>
      </w:r>
      <w:r w:rsidRPr="009D2871">
        <w:t>, 2010 SCC 23, [2010] 1 SCR 815</w:t>
      </w:r>
      <w:r>
        <w:t xml:space="preserve"> at para 39.</w:t>
      </w:r>
    </w:p>
  </w:endnote>
  <w:endnote w:id="31">
    <w:p w14:paraId="3D4A4A7C" w14:textId="77777777" w:rsidR="00E8154F" w:rsidRDefault="00E8154F">
      <w:pPr>
        <w:pStyle w:val="EndnoteText"/>
      </w:pPr>
      <w:r>
        <w:rPr>
          <w:rStyle w:val="EndnoteReference"/>
        </w:rPr>
        <w:endnoteRef/>
      </w:r>
      <w:r>
        <w:t xml:space="preserve"> </w:t>
      </w:r>
      <w:r w:rsidRPr="0045441D">
        <w:rPr>
          <w:i/>
        </w:rPr>
        <w:t>Schmidt</w:t>
      </w:r>
      <w:r>
        <w:t xml:space="preserve">, </w:t>
      </w:r>
      <w:r w:rsidRPr="0045441D">
        <w:rPr>
          <w:i/>
        </w:rPr>
        <w:t>supra</w:t>
      </w:r>
      <w:r>
        <w:t xml:space="preserve"> note 3 at paras 221-224.</w:t>
      </w:r>
    </w:p>
  </w:endnote>
  <w:endnote w:id="32">
    <w:p w14:paraId="661855AE" w14:textId="77777777" w:rsidR="00E8154F" w:rsidRDefault="00E8154F">
      <w:pPr>
        <w:pStyle w:val="EndnoteText"/>
      </w:pPr>
      <w:r>
        <w:rPr>
          <w:rStyle w:val="EndnoteReference"/>
        </w:rPr>
        <w:endnoteRef/>
      </w:r>
      <w:r>
        <w:t xml:space="preserve"> </w:t>
      </w:r>
      <w:r w:rsidRPr="009F10BF">
        <w:rPr>
          <w:i/>
        </w:rPr>
        <w:t>Schmidt</w:t>
      </w:r>
      <w:r>
        <w:t xml:space="preserve">, </w:t>
      </w:r>
      <w:r w:rsidRPr="009F10BF">
        <w:rPr>
          <w:i/>
        </w:rPr>
        <w:t>supra</w:t>
      </w:r>
      <w:r>
        <w:t xml:space="preserve"> note 3 at paras 229, 232 and 239.</w:t>
      </w:r>
    </w:p>
  </w:endnote>
  <w:endnote w:id="33">
    <w:p w14:paraId="4E9BDDDC" w14:textId="77777777" w:rsidR="00E8154F" w:rsidRDefault="00E8154F">
      <w:pPr>
        <w:pStyle w:val="EndnoteText"/>
      </w:pPr>
      <w:r>
        <w:rPr>
          <w:rStyle w:val="EndnoteReference"/>
        </w:rPr>
        <w:endnoteRef/>
      </w:r>
      <w:r>
        <w:t xml:space="preserve"> </w:t>
      </w:r>
      <w:r w:rsidRPr="00B76BA3">
        <w:rPr>
          <w:i/>
        </w:rPr>
        <w:t>McClure</w:t>
      </w:r>
      <w:r>
        <w:t xml:space="preserve">, </w:t>
      </w:r>
      <w:r w:rsidRPr="00B76BA3">
        <w:rPr>
          <w:i/>
        </w:rPr>
        <w:t>supra</w:t>
      </w:r>
      <w:r>
        <w:t xml:space="preserve"> note 28 at para 37; </w:t>
      </w:r>
      <w:r w:rsidRPr="00B76BA3">
        <w:rPr>
          <w:i/>
        </w:rPr>
        <w:t>Thompson</w:t>
      </w:r>
      <w:r>
        <w:t xml:space="preserve">, </w:t>
      </w:r>
      <w:r w:rsidRPr="00B76BA3">
        <w:rPr>
          <w:i/>
        </w:rPr>
        <w:t>supra</w:t>
      </w:r>
      <w:r>
        <w:t xml:space="preserve"> note 28 at para 39.</w:t>
      </w:r>
    </w:p>
  </w:endnote>
  <w:endnote w:id="34">
    <w:p w14:paraId="4C9B1F1B" w14:textId="77777777" w:rsidR="00E8154F" w:rsidRDefault="00E8154F">
      <w:pPr>
        <w:pStyle w:val="EndnoteText"/>
      </w:pPr>
      <w:r>
        <w:rPr>
          <w:rStyle w:val="EndnoteReference"/>
        </w:rPr>
        <w:endnoteRef/>
      </w:r>
      <w:r>
        <w:t xml:space="preserve"> </w:t>
      </w:r>
      <w:r w:rsidRPr="00481FEC">
        <w:rPr>
          <w:i/>
        </w:rPr>
        <w:t>Babcock</w:t>
      </w:r>
      <w:r>
        <w:t xml:space="preserve">, </w:t>
      </w:r>
      <w:r w:rsidRPr="00481FEC">
        <w:rPr>
          <w:i/>
        </w:rPr>
        <w:t>supra</w:t>
      </w:r>
      <w:r>
        <w:t xml:space="preserve"> note 25 at para 31. Note that Cabinet can only waive confidentiality where this is permitted by statute. There is no common-law waiver of public interest immunity: </w:t>
      </w:r>
      <w:r w:rsidRPr="00481FEC">
        <w:rPr>
          <w:i/>
        </w:rPr>
        <w:t>Babcock</w:t>
      </w:r>
      <w:r>
        <w:t xml:space="preserve"> at para 32.</w:t>
      </w:r>
    </w:p>
  </w:endnote>
  <w:endnote w:id="35">
    <w:p w14:paraId="3166BA13" w14:textId="77777777" w:rsidR="00270691" w:rsidRDefault="00270691" w:rsidP="00270691">
      <w:pPr>
        <w:pStyle w:val="EndnoteText"/>
      </w:pPr>
      <w:r>
        <w:rPr>
          <w:rStyle w:val="EndnoteReference"/>
        </w:rPr>
        <w:endnoteRef/>
      </w:r>
      <w:r>
        <w:t xml:space="preserve"> </w:t>
      </w:r>
      <w:r w:rsidRPr="0045441D">
        <w:rPr>
          <w:i/>
        </w:rPr>
        <w:t>Schmidt</w:t>
      </w:r>
      <w:r>
        <w:t xml:space="preserve">, </w:t>
      </w:r>
      <w:r w:rsidRPr="0045441D">
        <w:rPr>
          <w:i/>
        </w:rPr>
        <w:t>supra</w:t>
      </w:r>
      <w:r>
        <w:t xml:space="preserve"> note 3 at para 33.</w:t>
      </w:r>
    </w:p>
  </w:endnote>
  <w:endnote w:id="36">
    <w:p w14:paraId="40CF84A3" w14:textId="77777777" w:rsidR="00E8154F" w:rsidRDefault="00E8154F">
      <w:pPr>
        <w:pStyle w:val="EndnoteText"/>
      </w:pPr>
      <w:r>
        <w:rPr>
          <w:rStyle w:val="EndnoteReference"/>
        </w:rPr>
        <w:endnoteRef/>
      </w:r>
      <w:r>
        <w:t xml:space="preserve"> Chris Finlayson, Attorney General of New Zealand, “</w:t>
      </w:r>
      <w:r w:rsidRPr="00347029">
        <w:t>Section 7 of the Bill of Rights</w:t>
      </w:r>
      <w:r>
        <w:t xml:space="preserve">” (speech to Transparency International New Zealand); accessed at </w:t>
      </w:r>
      <w:hyperlink r:id="rId3" w:history="1">
        <w:r w:rsidRPr="00502E0C">
          <w:rPr>
            <w:rStyle w:val="Hyperlink"/>
          </w:rPr>
          <w:t>http://www.chrisfinlayson.co.nz/section-7-of-the-bill-of-rights/</w:t>
        </w:r>
      </w:hyperlink>
      <w:r>
        <w:t>, October 2016.</w:t>
      </w:r>
    </w:p>
  </w:endnote>
  <w:endnote w:id="37">
    <w:p w14:paraId="7420453E" w14:textId="77777777" w:rsidR="00E8154F" w:rsidRDefault="00E8154F" w:rsidP="00E63B1A">
      <w:pPr>
        <w:pStyle w:val="EndnoteText"/>
      </w:pPr>
      <w:r>
        <w:rPr>
          <w:rStyle w:val="EndnoteReference"/>
        </w:rPr>
        <w:endnoteRef/>
      </w:r>
      <w:r>
        <w:t xml:space="preserve"> “</w:t>
      </w:r>
      <w:r w:rsidRPr="00643DDD">
        <w:t>Advice on consistency of Bills with the Bill of Rights Act</w:t>
      </w:r>
      <w:r>
        <w:t xml:space="preserve">”; accessed at </w:t>
      </w:r>
      <w:hyperlink r:id="rId4" w:history="1">
        <w:r w:rsidRPr="00502E0C">
          <w:rPr>
            <w:rStyle w:val="Hyperlink"/>
          </w:rPr>
          <w:t>https://www.justice.govt.nz/justice-sector-policy/constitutional-issues-and-human-rights/bill-of-rights-compliance-reports/advice/</w:t>
        </w:r>
      </w:hyperlink>
      <w:r>
        <w:t>, October 2016.</w:t>
      </w:r>
    </w:p>
  </w:endnote>
  <w:endnote w:id="38">
    <w:p w14:paraId="150D482C" w14:textId="77777777" w:rsidR="00E8154F" w:rsidRDefault="00E8154F">
      <w:pPr>
        <w:pStyle w:val="EndnoteText"/>
      </w:pPr>
      <w:r>
        <w:rPr>
          <w:rStyle w:val="EndnoteReference"/>
        </w:rPr>
        <w:endnoteRef/>
      </w:r>
      <w:r>
        <w:t xml:space="preserve"> </w:t>
      </w:r>
      <w:r w:rsidRPr="005C2ADC">
        <w:rPr>
          <w:i/>
        </w:rPr>
        <w:t>Reference re Bill 30, An Act to Amend the Education Act (</w:t>
      </w:r>
      <w:proofErr w:type="spellStart"/>
      <w:r w:rsidRPr="005C2ADC">
        <w:rPr>
          <w:i/>
        </w:rPr>
        <w:t>Ont</w:t>
      </w:r>
      <w:proofErr w:type="spellEnd"/>
      <w:r w:rsidRPr="005C2ADC">
        <w:rPr>
          <w:i/>
        </w:rPr>
        <w:t>)</w:t>
      </w:r>
      <w:r>
        <w:t xml:space="preserve">, </w:t>
      </w:r>
      <w:r w:rsidRPr="001C1597">
        <w:t xml:space="preserve">[1987] 1 SCR 1148 </w:t>
      </w:r>
      <w:r>
        <w:t>at para 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9659" w14:textId="77777777" w:rsidR="00E8154F" w:rsidRDefault="00E8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FF03" w14:textId="77777777" w:rsidR="00E8154F" w:rsidRDefault="00E81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D246" w14:textId="77777777" w:rsidR="00E8154F" w:rsidRDefault="00E8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95C8" w14:textId="77777777" w:rsidR="008A2977" w:rsidRDefault="008A2977" w:rsidP="00FA0F70">
      <w:pPr>
        <w:spacing w:after="0" w:line="240" w:lineRule="auto"/>
      </w:pPr>
      <w:r>
        <w:separator/>
      </w:r>
    </w:p>
  </w:footnote>
  <w:footnote w:type="continuationSeparator" w:id="0">
    <w:p w14:paraId="62FA6F70" w14:textId="77777777" w:rsidR="008A2977" w:rsidRDefault="008A2977" w:rsidP="00FA0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D89F" w14:textId="77777777" w:rsidR="00E8154F" w:rsidRDefault="00E81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7F27" w14:textId="77777777" w:rsidR="00E8154F" w:rsidRDefault="00E81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937A" w14:textId="77777777" w:rsidR="00E8154F" w:rsidRDefault="00E81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910"/>
    <w:multiLevelType w:val="hybridMultilevel"/>
    <w:tmpl w:val="2AFC5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8B4379"/>
    <w:multiLevelType w:val="hybridMultilevel"/>
    <w:tmpl w:val="6674F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73"/>
    <w:rsid w:val="00002A72"/>
    <w:rsid w:val="0000329C"/>
    <w:rsid w:val="00003EC7"/>
    <w:rsid w:val="00004C4A"/>
    <w:rsid w:val="00004C81"/>
    <w:rsid w:val="00004FEF"/>
    <w:rsid w:val="00005245"/>
    <w:rsid w:val="0000596C"/>
    <w:rsid w:val="00005E24"/>
    <w:rsid w:val="000068BF"/>
    <w:rsid w:val="00007872"/>
    <w:rsid w:val="00007988"/>
    <w:rsid w:val="00010F21"/>
    <w:rsid w:val="00012F66"/>
    <w:rsid w:val="0001400F"/>
    <w:rsid w:val="0001466C"/>
    <w:rsid w:val="00014D10"/>
    <w:rsid w:val="00014F68"/>
    <w:rsid w:val="00016071"/>
    <w:rsid w:val="00016F54"/>
    <w:rsid w:val="00017A42"/>
    <w:rsid w:val="00017B1A"/>
    <w:rsid w:val="0002005F"/>
    <w:rsid w:val="00020928"/>
    <w:rsid w:val="000215ED"/>
    <w:rsid w:val="00022384"/>
    <w:rsid w:val="00022819"/>
    <w:rsid w:val="0002281F"/>
    <w:rsid w:val="00023181"/>
    <w:rsid w:val="000236D1"/>
    <w:rsid w:val="00023C04"/>
    <w:rsid w:val="00024E5D"/>
    <w:rsid w:val="00024EAB"/>
    <w:rsid w:val="00024FC1"/>
    <w:rsid w:val="00024FDD"/>
    <w:rsid w:val="0002519D"/>
    <w:rsid w:val="000268F1"/>
    <w:rsid w:val="0003145A"/>
    <w:rsid w:val="00032492"/>
    <w:rsid w:val="000327F5"/>
    <w:rsid w:val="0003297B"/>
    <w:rsid w:val="00032DA5"/>
    <w:rsid w:val="00032E81"/>
    <w:rsid w:val="000338EF"/>
    <w:rsid w:val="00035B8D"/>
    <w:rsid w:val="00037E55"/>
    <w:rsid w:val="00042008"/>
    <w:rsid w:val="0004305F"/>
    <w:rsid w:val="000433E3"/>
    <w:rsid w:val="00045542"/>
    <w:rsid w:val="00046920"/>
    <w:rsid w:val="00051A73"/>
    <w:rsid w:val="00051D30"/>
    <w:rsid w:val="00053252"/>
    <w:rsid w:val="000536D6"/>
    <w:rsid w:val="00053D7B"/>
    <w:rsid w:val="0005526D"/>
    <w:rsid w:val="000552BA"/>
    <w:rsid w:val="00055621"/>
    <w:rsid w:val="00055624"/>
    <w:rsid w:val="000566FB"/>
    <w:rsid w:val="00056BB6"/>
    <w:rsid w:val="00057E23"/>
    <w:rsid w:val="00060508"/>
    <w:rsid w:val="00061612"/>
    <w:rsid w:val="00062EA4"/>
    <w:rsid w:val="00063678"/>
    <w:rsid w:val="00063904"/>
    <w:rsid w:val="00063BD1"/>
    <w:rsid w:val="0006467C"/>
    <w:rsid w:val="0006584B"/>
    <w:rsid w:val="00066B19"/>
    <w:rsid w:val="00066E5B"/>
    <w:rsid w:val="0006772E"/>
    <w:rsid w:val="00067B48"/>
    <w:rsid w:val="00070D78"/>
    <w:rsid w:val="00070E57"/>
    <w:rsid w:val="0007102C"/>
    <w:rsid w:val="00071222"/>
    <w:rsid w:val="00071568"/>
    <w:rsid w:val="00071E66"/>
    <w:rsid w:val="00072004"/>
    <w:rsid w:val="00072527"/>
    <w:rsid w:val="0007276B"/>
    <w:rsid w:val="00073C78"/>
    <w:rsid w:val="00074CD6"/>
    <w:rsid w:val="00075301"/>
    <w:rsid w:val="000760A2"/>
    <w:rsid w:val="00076B86"/>
    <w:rsid w:val="0008133B"/>
    <w:rsid w:val="00081703"/>
    <w:rsid w:val="000839CC"/>
    <w:rsid w:val="00083F87"/>
    <w:rsid w:val="00084A52"/>
    <w:rsid w:val="00085078"/>
    <w:rsid w:val="00086845"/>
    <w:rsid w:val="000879AF"/>
    <w:rsid w:val="00090095"/>
    <w:rsid w:val="00090C59"/>
    <w:rsid w:val="00090E12"/>
    <w:rsid w:val="0009104E"/>
    <w:rsid w:val="0009142B"/>
    <w:rsid w:val="00092AF4"/>
    <w:rsid w:val="00092EEB"/>
    <w:rsid w:val="000934E4"/>
    <w:rsid w:val="000952D0"/>
    <w:rsid w:val="00095A56"/>
    <w:rsid w:val="0009698B"/>
    <w:rsid w:val="00097B90"/>
    <w:rsid w:val="000A2196"/>
    <w:rsid w:val="000A3CD8"/>
    <w:rsid w:val="000A3F85"/>
    <w:rsid w:val="000A5188"/>
    <w:rsid w:val="000A5A3C"/>
    <w:rsid w:val="000A5E2E"/>
    <w:rsid w:val="000A62A1"/>
    <w:rsid w:val="000B0872"/>
    <w:rsid w:val="000B39B8"/>
    <w:rsid w:val="000B3D73"/>
    <w:rsid w:val="000B3E24"/>
    <w:rsid w:val="000B4868"/>
    <w:rsid w:val="000B4C1F"/>
    <w:rsid w:val="000C0291"/>
    <w:rsid w:val="000C0A52"/>
    <w:rsid w:val="000C0ABE"/>
    <w:rsid w:val="000C11FD"/>
    <w:rsid w:val="000C1EBC"/>
    <w:rsid w:val="000C2205"/>
    <w:rsid w:val="000C476D"/>
    <w:rsid w:val="000C5886"/>
    <w:rsid w:val="000C5FEB"/>
    <w:rsid w:val="000C651A"/>
    <w:rsid w:val="000C6E36"/>
    <w:rsid w:val="000C70EC"/>
    <w:rsid w:val="000C71E5"/>
    <w:rsid w:val="000C7708"/>
    <w:rsid w:val="000D0ABB"/>
    <w:rsid w:val="000D0DF5"/>
    <w:rsid w:val="000D17CD"/>
    <w:rsid w:val="000D1EC4"/>
    <w:rsid w:val="000D223C"/>
    <w:rsid w:val="000D2352"/>
    <w:rsid w:val="000D2436"/>
    <w:rsid w:val="000D36E1"/>
    <w:rsid w:val="000D3EDF"/>
    <w:rsid w:val="000D4A47"/>
    <w:rsid w:val="000D4C12"/>
    <w:rsid w:val="000D4CDD"/>
    <w:rsid w:val="000D559E"/>
    <w:rsid w:val="000D7F4F"/>
    <w:rsid w:val="000E15DF"/>
    <w:rsid w:val="000E2192"/>
    <w:rsid w:val="000E36AF"/>
    <w:rsid w:val="000E3BBE"/>
    <w:rsid w:val="000E454B"/>
    <w:rsid w:val="000E7143"/>
    <w:rsid w:val="000E7247"/>
    <w:rsid w:val="000E7667"/>
    <w:rsid w:val="000E79AB"/>
    <w:rsid w:val="000F02A3"/>
    <w:rsid w:val="000F0D7D"/>
    <w:rsid w:val="000F19B7"/>
    <w:rsid w:val="000F1E14"/>
    <w:rsid w:val="000F2B8B"/>
    <w:rsid w:val="000F3B96"/>
    <w:rsid w:val="000F4544"/>
    <w:rsid w:val="000F698A"/>
    <w:rsid w:val="000F6AC3"/>
    <w:rsid w:val="000F7601"/>
    <w:rsid w:val="00100942"/>
    <w:rsid w:val="00100A68"/>
    <w:rsid w:val="00101263"/>
    <w:rsid w:val="00102DE8"/>
    <w:rsid w:val="00104622"/>
    <w:rsid w:val="0010519B"/>
    <w:rsid w:val="00106C48"/>
    <w:rsid w:val="0010713D"/>
    <w:rsid w:val="00107816"/>
    <w:rsid w:val="0011277E"/>
    <w:rsid w:val="00112AB0"/>
    <w:rsid w:val="001137AB"/>
    <w:rsid w:val="0011450C"/>
    <w:rsid w:val="00115B4C"/>
    <w:rsid w:val="00116BDA"/>
    <w:rsid w:val="00116E9E"/>
    <w:rsid w:val="001171BF"/>
    <w:rsid w:val="00117ADD"/>
    <w:rsid w:val="00122026"/>
    <w:rsid w:val="001223E7"/>
    <w:rsid w:val="00122505"/>
    <w:rsid w:val="00123174"/>
    <w:rsid w:val="001248BA"/>
    <w:rsid w:val="00130AFF"/>
    <w:rsid w:val="001313B4"/>
    <w:rsid w:val="00131847"/>
    <w:rsid w:val="00132960"/>
    <w:rsid w:val="00135634"/>
    <w:rsid w:val="00140448"/>
    <w:rsid w:val="00140A49"/>
    <w:rsid w:val="00140A61"/>
    <w:rsid w:val="00142F81"/>
    <w:rsid w:val="00143001"/>
    <w:rsid w:val="00146B11"/>
    <w:rsid w:val="0015182C"/>
    <w:rsid w:val="00152CA0"/>
    <w:rsid w:val="00152D1A"/>
    <w:rsid w:val="001545BA"/>
    <w:rsid w:val="00155A25"/>
    <w:rsid w:val="001571C8"/>
    <w:rsid w:val="001607FD"/>
    <w:rsid w:val="00160CDA"/>
    <w:rsid w:val="00160DF2"/>
    <w:rsid w:val="0016410C"/>
    <w:rsid w:val="00164554"/>
    <w:rsid w:val="00164696"/>
    <w:rsid w:val="00164CF9"/>
    <w:rsid w:val="001650B3"/>
    <w:rsid w:val="00165643"/>
    <w:rsid w:val="00165D57"/>
    <w:rsid w:val="0016652A"/>
    <w:rsid w:val="00166A63"/>
    <w:rsid w:val="001706B3"/>
    <w:rsid w:val="00171935"/>
    <w:rsid w:val="00171F56"/>
    <w:rsid w:val="00172A40"/>
    <w:rsid w:val="00173873"/>
    <w:rsid w:val="00173D94"/>
    <w:rsid w:val="00174F1C"/>
    <w:rsid w:val="0017654E"/>
    <w:rsid w:val="001765DC"/>
    <w:rsid w:val="001772CF"/>
    <w:rsid w:val="00177FAE"/>
    <w:rsid w:val="0018054F"/>
    <w:rsid w:val="001805D6"/>
    <w:rsid w:val="00181147"/>
    <w:rsid w:val="00181FC1"/>
    <w:rsid w:val="00182DC6"/>
    <w:rsid w:val="0018309D"/>
    <w:rsid w:val="00183A60"/>
    <w:rsid w:val="001847BF"/>
    <w:rsid w:val="00184C49"/>
    <w:rsid w:val="00185922"/>
    <w:rsid w:val="001879B1"/>
    <w:rsid w:val="00193172"/>
    <w:rsid w:val="0019380B"/>
    <w:rsid w:val="0019405B"/>
    <w:rsid w:val="0019464F"/>
    <w:rsid w:val="001969E4"/>
    <w:rsid w:val="0019702A"/>
    <w:rsid w:val="00197C98"/>
    <w:rsid w:val="001A0095"/>
    <w:rsid w:val="001A01E5"/>
    <w:rsid w:val="001A0C75"/>
    <w:rsid w:val="001A0E8B"/>
    <w:rsid w:val="001A18EC"/>
    <w:rsid w:val="001A3828"/>
    <w:rsid w:val="001A476A"/>
    <w:rsid w:val="001A4C1B"/>
    <w:rsid w:val="001A4DAE"/>
    <w:rsid w:val="001A4E86"/>
    <w:rsid w:val="001A5B78"/>
    <w:rsid w:val="001A6EB0"/>
    <w:rsid w:val="001A7E50"/>
    <w:rsid w:val="001A7F43"/>
    <w:rsid w:val="001B05FB"/>
    <w:rsid w:val="001B0FE1"/>
    <w:rsid w:val="001B264C"/>
    <w:rsid w:val="001B517A"/>
    <w:rsid w:val="001C025F"/>
    <w:rsid w:val="001C09F2"/>
    <w:rsid w:val="001C0CD6"/>
    <w:rsid w:val="001C0DF4"/>
    <w:rsid w:val="001C1098"/>
    <w:rsid w:val="001C1597"/>
    <w:rsid w:val="001C22B0"/>
    <w:rsid w:val="001C3AC2"/>
    <w:rsid w:val="001C40AC"/>
    <w:rsid w:val="001C4209"/>
    <w:rsid w:val="001C7D3B"/>
    <w:rsid w:val="001D0808"/>
    <w:rsid w:val="001D29E9"/>
    <w:rsid w:val="001D3729"/>
    <w:rsid w:val="001D5286"/>
    <w:rsid w:val="001D644E"/>
    <w:rsid w:val="001E0211"/>
    <w:rsid w:val="001E0621"/>
    <w:rsid w:val="001E406E"/>
    <w:rsid w:val="001E66D4"/>
    <w:rsid w:val="001E7C44"/>
    <w:rsid w:val="001F2932"/>
    <w:rsid w:val="001F2C24"/>
    <w:rsid w:val="001F534B"/>
    <w:rsid w:val="001F5511"/>
    <w:rsid w:val="002002CF"/>
    <w:rsid w:val="0020067A"/>
    <w:rsid w:val="00201BF4"/>
    <w:rsid w:val="00201CD5"/>
    <w:rsid w:val="00202101"/>
    <w:rsid w:val="002029AA"/>
    <w:rsid w:val="00203095"/>
    <w:rsid w:val="00203696"/>
    <w:rsid w:val="00204B81"/>
    <w:rsid w:val="002051DB"/>
    <w:rsid w:val="00205890"/>
    <w:rsid w:val="002128F8"/>
    <w:rsid w:val="00213141"/>
    <w:rsid w:val="00213A62"/>
    <w:rsid w:val="00213F40"/>
    <w:rsid w:val="00215F91"/>
    <w:rsid w:val="002162C8"/>
    <w:rsid w:val="00216E55"/>
    <w:rsid w:val="00217BA7"/>
    <w:rsid w:val="00222186"/>
    <w:rsid w:val="00223745"/>
    <w:rsid w:val="00223F40"/>
    <w:rsid w:val="00224DBC"/>
    <w:rsid w:val="00226495"/>
    <w:rsid w:val="002272E2"/>
    <w:rsid w:val="00227321"/>
    <w:rsid w:val="0022762A"/>
    <w:rsid w:val="00230C7B"/>
    <w:rsid w:val="0023314B"/>
    <w:rsid w:val="00235297"/>
    <w:rsid w:val="0023550F"/>
    <w:rsid w:val="00235DF3"/>
    <w:rsid w:val="0024008E"/>
    <w:rsid w:val="0024018D"/>
    <w:rsid w:val="00240776"/>
    <w:rsid w:val="00241092"/>
    <w:rsid w:val="00241974"/>
    <w:rsid w:val="00243051"/>
    <w:rsid w:val="0024481C"/>
    <w:rsid w:val="00244DAE"/>
    <w:rsid w:val="00244EE3"/>
    <w:rsid w:val="00247793"/>
    <w:rsid w:val="00247C19"/>
    <w:rsid w:val="0025238D"/>
    <w:rsid w:val="00252A23"/>
    <w:rsid w:val="00253CEE"/>
    <w:rsid w:val="0025549A"/>
    <w:rsid w:val="0025578E"/>
    <w:rsid w:val="002565A2"/>
    <w:rsid w:val="002568AB"/>
    <w:rsid w:val="00256AD8"/>
    <w:rsid w:val="002576BF"/>
    <w:rsid w:val="00261D78"/>
    <w:rsid w:val="00263CF0"/>
    <w:rsid w:val="002642DA"/>
    <w:rsid w:val="00264DE6"/>
    <w:rsid w:val="00265BEC"/>
    <w:rsid w:val="00265F2F"/>
    <w:rsid w:val="002663F3"/>
    <w:rsid w:val="002664A0"/>
    <w:rsid w:val="002669A4"/>
    <w:rsid w:val="00270691"/>
    <w:rsid w:val="00270BCB"/>
    <w:rsid w:val="00270FD6"/>
    <w:rsid w:val="00272048"/>
    <w:rsid w:val="0027264B"/>
    <w:rsid w:val="00272888"/>
    <w:rsid w:val="00273081"/>
    <w:rsid w:val="002737B0"/>
    <w:rsid w:val="00273C6E"/>
    <w:rsid w:val="00273E83"/>
    <w:rsid w:val="002758B8"/>
    <w:rsid w:val="00275F99"/>
    <w:rsid w:val="002770BC"/>
    <w:rsid w:val="00280164"/>
    <w:rsid w:val="002806D2"/>
    <w:rsid w:val="00280BFE"/>
    <w:rsid w:val="002814E7"/>
    <w:rsid w:val="00281957"/>
    <w:rsid w:val="00282810"/>
    <w:rsid w:val="00282E46"/>
    <w:rsid w:val="00283134"/>
    <w:rsid w:val="00283553"/>
    <w:rsid w:val="0028379E"/>
    <w:rsid w:val="00285A2F"/>
    <w:rsid w:val="0028642A"/>
    <w:rsid w:val="00286709"/>
    <w:rsid w:val="002870F2"/>
    <w:rsid w:val="00287910"/>
    <w:rsid w:val="0029026F"/>
    <w:rsid w:val="00290608"/>
    <w:rsid w:val="0029189D"/>
    <w:rsid w:val="00293359"/>
    <w:rsid w:val="0029438A"/>
    <w:rsid w:val="002955E7"/>
    <w:rsid w:val="00295863"/>
    <w:rsid w:val="00295D45"/>
    <w:rsid w:val="002964A3"/>
    <w:rsid w:val="0029669A"/>
    <w:rsid w:val="002A0BB4"/>
    <w:rsid w:val="002A2FCA"/>
    <w:rsid w:val="002A36CF"/>
    <w:rsid w:val="002A3D20"/>
    <w:rsid w:val="002A3E49"/>
    <w:rsid w:val="002A5E6E"/>
    <w:rsid w:val="002A6028"/>
    <w:rsid w:val="002A75BC"/>
    <w:rsid w:val="002A79AB"/>
    <w:rsid w:val="002A7A38"/>
    <w:rsid w:val="002A7F29"/>
    <w:rsid w:val="002B03D2"/>
    <w:rsid w:val="002B0CF1"/>
    <w:rsid w:val="002B1B6C"/>
    <w:rsid w:val="002B1E58"/>
    <w:rsid w:val="002B2B73"/>
    <w:rsid w:val="002B2EC8"/>
    <w:rsid w:val="002B52E6"/>
    <w:rsid w:val="002B7C0E"/>
    <w:rsid w:val="002C2CF6"/>
    <w:rsid w:val="002C2DA9"/>
    <w:rsid w:val="002C32B4"/>
    <w:rsid w:val="002C4982"/>
    <w:rsid w:val="002C51A5"/>
    <w:rsid w:val="002C557F"/>
    <w:rsid w:val="002C56B8"/>
    <w:rsid w:val="002D2F9D"/>
    <w:rsid w:val="002D489E"/>
    <w:rsid w:val="002D5471"/>
    <w:rsid w:val="002D61E8"/>
    <w:rsid w:val="002D61F8"/>
    <w:rsid w:val="002D63D2"/>
    <w:rsid w:val="002D721C"/>
    <w:rsid w:val="002D7F63"/>
    <w:rsid w:val="002E2F30"/>
    <w:rsid w:val="002E2F45"/>
    <w:rsid w:val="002E3A84"/>
    <w:rsid w:val="002E4A5D"/>
    <w:rsid w:val="002E5225"/>
    <w:rsid w:val="002E7D9E"/>
    <w:rsid w:val="002F0889"/>
    <w:rsid w:val="002F0FAC"/>
    <w:rsid w:val="002F100D"/>
    <w:rsid w:val="002F10C2"/>
    <w:rsid w:val="002F575F"/>
    <w:rsid w:val="002F5A52"/>
    <w:rsid w:val="002F63C3"/>
    <w:rsid w:val="002F718F"/>
    <w:rsid w:val="00302059"/>
    <w:rsid w:val="00302F1D"/>
    <w:rsid w:val="0030309E"/>
    <w:rsid w:val="003044D4"/>
    <w:rsid w:val="0030454B"/>
    <w:rsid w:val="00304591"/>
    <w:rsid w:val="00304B31"/>
    <w:rsid w:val="00305479"/>
    <w:rsid w:val="00306A43"/>
    <w:rsid w:val="0030774A"/>
    <w:rsid w:val="003101D3"/>
    <w:rsid w:val="0031055B"/>
    <w:rsid w:val="00310F86"/>
    <w:rsid w:val="0031148C"/>
    <w:rsid w:val="00314D2A"/>
    <w:rsid w:val="00315A18"/>
    <w:rsid w:val="003176C8"/>
    <w:rsid w:val="00317E13"/>
    <w:rsid w:val="0032299C"/>
    <w:rsid w:val="00323147"/>
    <w:rsid w:val="00325643"/>
    <w:rsid w:val="00325AF7"/>
    <w:rsid w:val="00327A2B"/>
    <w:rsid w:val="00330EC9"/>
    <w:rsid w:val="00331DCD"/>
    <w:rsid w:val="00331F9F"/>
    <w:rsid w:val="0033274B"/>
    <w:rsid w:val="00336003"/>
    <w:rsid w:val="003373AE"/>
    <w:rsid w:val="00340479"/>
    <w:rsid w:val="00340B43"/>
    <w:rsid w:val="003429BA"/>
    <w:rsid w:val="00342E8F"/>
    <w:rsid w:val="00343C88"/>
    <w:rsid w:val="00344746"/>
    <w:rsid w:val="00345107"/>
    <w:rsid w:val="00345E58"/>
    <w:rsid w:val="0034616E"/>
    <w:rsid w:val="0034641D"/>
    <w:rsid w:val="00347029"/>
    <w:rsid w:val="0034792E"/>
    <w:rsid w:val="00347A6B"/>
    <w:rsid w:val="00347C26"/>
    <w:rsid w:val="003523EA"/>
    <w:rsid w:val="00353138"/>
    <w:rsid w:val="00353424"/>
    <w:rsid w:val="003547C1"/>
    <w:rsid w:val="0035607A"/>
    <w:rsid w:val="00356F93"/>
    <w:rsid w:val="003574FC"/>
    <w:rsid w:val="00357706"/>
    <w:rsid w:val="003579AD"/>
    <w:rsid w:val="00361C3C"/>
    <w:rsid w:val="00363CF0"/>
    <w:rsid w:val="00366D03"/>
    <w:rsid w:val="00367BB8"/>
    <w:rsid w:val="00370230"/>
    <w:rsid w:val="0037033B"/>
    <w:rsid w:val="00370F21"/>
    <w:rsid w:val="00370F7F"/>
    <w:rsid w:val="00371169"/>
    <w:rsid w:val="0037167B"/>
    <w:rsid w:val="00373D3D"/>
    <w:rsid w:val="00375D41"/>
    <w:rsid w:val="003768FC"/>
    <w:rsid w:val="003769DB"/>
    <w:rsid w:val="003813A3"/>
    <w:rsid w:val="00381414"/>
    <w:rsid w:val="00382433"/>
    <w:rsid w:val="00383C0C"/>
    <w:rsid w:val="00383D45"/>
    <w:rsid w:val="00384844"/>
    <w:rsid w:val="00385EB4"/>
    <w:rsid w:val="00386912"/>
    <w:rsid w:val="00387946"/>
    <w:rsid w:val="003879C1"/>
    <w:rsid w:val="003879D9"/>
    <w:rsid w:val="00387E61"/>
    <w:rsid w:val="00390006"/>
    <w:rsid w:val="00390CA6"/>
    <w:rsid w:val="00393A6C"/>
    <w:rsid w:val="00394D70"/>
    <w:rsid w:val="00395BB8"/>
    <w:rsid w:val="003A3E9A"/>
    <w:rsid w:val="003A40EB"/>
    <w:rsid w:val="003A432A"/>
    <w:rsid w:val="003A4470"/>
    <w:rsid w:val="003A4559"/>
    <w:rsid w:val="003A5A9F"/>
    <w:rsid w:val="003A715D"/>
    <w:rsid w:val="003A73D7"/>
    <w:rsid w:val="003B0C30"/>
    <w:rsid w:val="003B23FD"/>
    <w:rsid w:val="003B4287"/>
    <w:rsid w:val="003B4571"/>
    <w:rsid w:val="003B4C20"/>
    <w:rsid w:val="003B50E8"/>
    <w:rsid w:val="003C129F"/>
    <w:rsid w:val="003C219B"/>
    <w:rsid w:val="003C286D"/>
    <w:rsid w:val="003C34CC"/>
    <w:rsid w:val="003C3D8B"/>
    <w:rsid w:val="003C4E19"/>
    <w:rsid w:val="003C6A09"/>
    <w:rsid w:val="003C7337"/>
    <w:rsid w:val="003D147F"/>
    <w:rsid w:val="003D3994"/>
    <w:rsid w:val="003D4C65"/>
    <w:rsid w:val="003D4EC7"/>
    <w:rsid w:val="003D50FF"/>
    <w:rsid w:val="003D5F98"/>
    <w:rsid w:val="003D7BFD"/>
    <w:rsid w:val="003D7DD1"/>
    <w:rsid w:val="003E0E61"/>
    <w:rsid w:val="003E0F7D"/>
    <w:rsid w:val="003E1C10"/>
    <w:rsid w:val="003E2365"/>
    <w:rsid w:val="003E2949"/>
    <w:rsid w:val="003E32E1"/>
    <w:rsid w:val="003E3EE5"/>
    <w:rsid w:val="003E6D69"/>
    <w:rsid w:val="003E7844"/>
    <w:rsid w:val="003F0B41"/>
    <w:rsid w:val="003F270D"/>
    <w:rsid w:val="003F2F31"/>
    <w:rsid w:val="003F36CA"/>
    <w:rsid w:val="003F68D8"/>
    <w:rsid w:val="00401452"/>
    <w:rsid w:val="0040204D"/>
    <w:rsid w:val="00404E73"/>
    <w:rsid w:val="00405E1A"/>
    <w:rsid w:val="004069F0"/>
    <w:rsid w:val="00406C66"/>
    <w:rsid w:val="00410353"/>
    <w:rsid w:val="00411484"/>
    <w:rsid w:val="0041179B"/>
    <w:rsid w:val="00411D8D"/>
    <w:rsid w:val="00412257"/>
    <w:rsid w:val="00412F8E"/>
    <w:rsid w:val="00415204"/>
    <w:rsid w:val="00415419"/>
    <w:rsid w:val="00416A39"/>
    <w:rsid w:val="00417760"/>
    <w:rsid w:val="00417A68"/>
    <w:rsid w:val="00417A71"/>
    <w:rsid w:val="00420F42"/>
    <w:rsid w:val="004213E5"/>
    <w:rsid w:val="00421E44"/>
    <w:rsid w:val="00424647"/>
    <w:rsid w:val="00430C0E"/>
    <w:rsid w:val="00430CDF"/>
    <w:rsid w:val="004316B8"/>
    <w:rsid w:val="00433514"/>
    <w:rsid w:val="004336BC"/>
    <w:rsid w:val="00434B2F"/>
    <w:rsid w:val="00436BFE"/>
    <w:rsid w:val="004413EA"/>
    <w:rsid w:val="00443AD5"/>
    <w:rsid w:val="00443CE5"/>
    <w:rsid w:val="0044469D"/>
    <w:rsid w:val="00444A19"/>
    <w:rsid w:val="0044502F"/>
    <w:rsid w:val="004452BA"/>
    <w:rsid w:val="00445CC8"/>
    <w:rsid w:val="00447F2B"/>
    <w:rsid w:val="00453E96"/>
    <w:rsid w:val="0045441D"/>
    <w:rsid w:val="00454A68"/>
    <w:rsid w:val="00454DA3"/>
    <w:rsid w:val="00455516"/>
    <w:rsid w:val="00455C34"/>
    <w:rsid w:val="00455CC5"/>
    <w:rsid w:val="00456AA6"/>
    <w:rsid w:val="00456FA2"/>
    <w:rsid w:val="00457762"/>
    <w:rsid w:val="00460687"/>
    <w:rsid w:val="00460837"/>
    <w:rsid w:val="004631DC"/>
    <w:rsid w:val="004636F7"/>
    <w:rsid w:val="004642E5"/>
    <w:rsid w:val="00470298"/>
    <w:rsid w:val="00471879"/>
    <w:rsid w:val="00471CB4"/>
    <w:rsid w:val="00472C5B"/>
    <w:rsid w:val="00473B68"/>
    <w:rsid w:val="004756D5"/>
    <w:rsid w:val="004765F8"/>
    <w:rsid w:val="004773CA"/>
    <w:rsid w:val="00477AC1"/>
    <w:rsid w:val="004807C3"/>
    <w:rsid w:val="00481074"/>
    <w:rsid w:val="00481AB4"/>
    <w:rsid w:val="00481FEC"/>
    <w:rsid w:val="00482224"/>
    <w:rsid w:val="004839E6"/>
    <w:rsid w:val="00483EF3"/>
    <w:rsid w:val="00484363"/>
    <w:rsid w:val="004843F6"/>
    <w:rsid w:val="00484550"/>
    <w:rsid w:val="00486601"/>
    <w:rsid w:val="00486725"/>
    <w:rsid w:val="00486D4C"/>
    <w:rsid w:val="00490AB4"/>
    <w:rsid w:val="00492797"/>
    <w:rsid w:val="00492FFE"/>
    <w:rsid w:val="00494114"/>
    <w:rsid w:val="0049463B"/>
    <w:rsid w:val="00494703"/>
    <w:rsid w:val="00494929"/>
    <w:rsid w:val="00495CE2"/>
    <w:rsid w:val="00496079"/>
    <w:rsid w:val="004967DA"/>
    <w:rsid w:val="00496A33"/>
    <w:rsid w:val="004977D7"/>
    <w:rsid w:val="00497D2E"/>
    <w:rsid w:val="00497DAE"/>
    <w:rsid w:val="004A0C8F"/>
    <w:rsid w:val="004A0F2C"/>
    <w:rsid w:val="004A28C9"/>
    <w:rsid w:val="004A2CD2"/>
    <w:rsid w:val="004A40CD"/>
    <w:rsid w:val="004A4A8A"/>
    <w:rsid w:val="004A5525"/>
    <w:rsid w:val="004A6CCF"/>
    <w:rsid w:val="004A6DF4"/>
    <w:rsid w:val="004A763A"/>
    <w:rsid w:val="004B077D"/>
    <w:rsid w:val="004B0D5B"/>
    <w:rsid w:val="004B1077"/>
    <w:rsid w:val="004B167C"/>
    <w:rsid w:val="004B235D"/>
    <w:rsid w:val="004B2979"/>
    <w:rsid w:val="004B2986"/>
    <w:rsid w:val="004B2EFF"/>
    <w:rsid w:val="004B3622"/>
    <w:rsid w:val="004B395E"/>
    <w:rsid w:val="004B3A13"/>
    <w:rsid w:val="004B3CD6"/>
    <w:rsid w:val="004B4371"/>
    <w:rsid w:val="004B44CA"/>
    <w:rsid w:val="004B4B49"/>
    <w:rsid w:val="004B6925"/>
    <w:rsid w:val="004B7ACF"/>
    <w:rsid w:val="004C079E"/>
    <w:rsid w:val="004C098A"/>
    <w:rsid w:val="004C1696"/>
    <w:rsid w:val="004C373D"/>
    <w:rsid w:val="004C4955"/>
    <w:rsid w:val="004C551A"/>
    <w:rsid w:val="004C6899"/>
    <w:rsid w:val="004C691E"/>
    <w:rsid w:val="004C7150"/>
    <w:rsid w:val="004C74E2"/>
    <w:rsid w:val="004D0BDB"/>
    <w:rsid w:val="004D1010"/>
    <w:rsid w:val="004D1241"/>
    <w:rsid w:val="004D1C8F"/>
    <w:rsid w:val="004D20A5"/>
    <w:rsid w:val="004D250F"/>
    <w:rsid w:val="004D2F9E"/>
    <w:rsid w:val="004D3B6A"/>
    <w:rsid w:val="004D45EA"/>
    <w:rsid w:val="004D4EE7"/>
    <w:rsid w:val="004D4F72"/>
    <w:rsid w:val="004D7477"/>
    <w:rsid w:val="004E284A"/>
    <w:rsid w:val="004E28AB"/>
    <w:rsid w:val="004E38BD"/>
    <w:rsid w:val="004E4123"/>
    <w:rsid w:val="004E52D3"/>
    <w:rsid w:val="004E6FFA"/>
    <w:rsid w:val="004F0C14"/>
    <w:rsid w:val="004F12B3"/>
    <w:rsid w:val="004F2456"/>
    <w:rsid w:val="004F4686"/>
    <w:rsid w:val="004F47A2"/>
    <w:rsid w:val="004F6BE9"/>
    <w:rsid w:val="004F7D35"/>
    <w:rsid w:val="00503D29"/>
    <w:rsid w:val="00504652"/>
    <w:rsid w:val="00504E01"/>
    <w:rsid w:val="005059E2"/>
    <w:rsid w:val="00506228"/>
    <w:rsid w:val="00507173"/>
    <w:rsid w:val="00512D59"/>
    <w:rsid w:val="00513466"/>
    <w:rsid w:val="00515399"/>
    <w:rsid w:val="005173F9"/>
    <w:rsid w:val="005179A7"/>
    <w:rsid w:val="00517E10"/>
    <w:rsid w:val="005204FB"/>
    <w:rsid w:val="00520DD6"/>
    <w:rsid w:val="00521167"/>
    <w:rsid w:val="00522116"/>
    <w:rsid w:val="00522DCE"/>
    <w:rsid w:val="0052331C"/>
    <w:rsid w:val="005240F2"/>
    <w:rsid w:val="00524401"/>
    <w:rsid w:val="00524959"/>
    <w:rsid w:val="005255B8"/>
    <w:rsid w:val="00525A00"/>
    <w:rsid w:val="005278DE"/>
    <w:rsid w:val="00530B19"/>
    <w:rsid w:val="00532B8A"/>
    <w:rsid w:val="00533EEF"/>
    <w:rsid w:val="00534205"/>
    <w:rsid w:val="00534DD9"/>
    <w:rsid w:val="00535FD8"/>
    <w:rsid w:val="00536527"/>
    <w:rsid w:val="005365CA"/>
    <w:rsid w:val="005373A4"/>
    <w:rsid w:val="00541D12"/>
    <w:rsid w:val="00542503"/>
    <w:rsid w:val="00542A17"/>
    <w:rsid w:val="005452DC"/>
    <w:rsid w:val="00545DE7"/>
    <w:rsid w:val="00545FE5"/>
    <w:rsid w:val="005501BB"/>
    <w:rsid w:val="0055183D"/>
    <w:rsid w:val="00552687"/>
    <w:rsid w:val="00553504"/>
    <w:rsid w:val="00553DF5"/>
    <w:rsid w:val="005544CF"/>
    <w:rsid w:val="0055450A"/>
    <w:rsid w:val="00554DFF"/>
    <w:rsid w:val="00554FC4"/>
    <w:rsid w:val="00555767"/>
    <w:rsid w:val="005566D2"/>
    <w:rsid w:val="00557E02"/>
    <w:rsid w:val="00560F14"/>
    <w:rsid w:val="00561D80"/>
    <w:rsid w:val="005620E0"/>
    <w:rsid w:val="0056220B"/>
    <w:rsid w:val="00562B15"/>
    <w:rsid w:val="00563E8C"/>
    <w:rsid w:val="005641B8"/>
    <w:rsid w:val="00564AB1"/>
    <w:rsid w:val="00564BD8"/>
    <w:rsid w:val="00565112"/>
    <w:rsid w:val="0056651B"/>
    <w:rsid w:val="005668A6"/>
    <w:rsid w:val="00570DF4"/>
    <w:rsid w:val="0057150A"/>
    <w:rsid w:val="00571CA6"/>
    <w:rsid w:val="0057217E"/>
    <w:rsid w:val="00572614"/>
    <w:rsid w:val="005727F5"/>
    <w:rsid w:val="00572D29"/>
    <w:rsid w:val="00572DB9"/>
    <w:rsid w:val="0057394C"/>
    <w:rsid w:val="0057432B"/>
    <w:rsid w:val="00574BAC"/>
    <w:rsid w:val="00574C25"/>
    <w:rsid w:val="005752F8"/>
    <w:rsid w:val="005761BC"/>
    <w:rsid w:val="005770E6"/>
    <w:rsid w:val="00577B76"/>
    <w:rsid w:val="00577CF0"/>
    <w:rsid w:val="005803F7"/>
    <w:rsid w:val="00580FFD"/>
    <w:rsid w:val="00581DAA"/>
    <w:rsid w:val="005820BC"/>
    <w:rsid w:val="00583ECC"/>
    <w:rsid w:val="00584893"/>
    <w:rsid w:val="00586DA0"/>
    <w:rsid w:val="005902A3"/>
    <w:rsid w:val="005908D6"/>
    <w:rsid w:val="00591A67"/>
    <w:rsid w:val="00592FE9"/>
    <w:rsid w:val="00593025"/>
    <w:rsid w:val="005946FC"/>
    <w:rsid w:val="005974AD"/>
    <w:rsid w:val="00597847"/>
    <w:rsid w:val="00597B1C"/>
    <w:rsid w:val="005A00D4"/>
    <w:rsid w:val="005A0689"/>
    <w:rsid w:val="005A07A9"/>
    <w:rsid w:val="005A1792"/>
    <w:rsid w:val="005A24A3"/>
    <w:rsid w:val="005A2560"/>
    <w:rsid w:val="005A3980"/>
    <w:rsid w:val="005A3C83"/>
    <w:rsid w:val="005A50A8"/>
    <w:rsid w:val="005A6C76"/>
    <w:rsid w:val="005A6CEF"/>
    <w:rsid w:val="005A737E"/>
    <w:rsid w:val="005A73E7"/>
    <w:rsid w:val="005A74B4"/>
    <w:rsid w:val="005B4252"/>
    <w:rsid w:val="005B5231"/>
    <w:rsid w:val="005B5C73"/>
    <w:rsid w:val="005B623F"/>
    <w:rsid w:val="005B6714"/>
    <w:rsid w:val="005B698A"/>
    <w:rsid w:val="005B72CF"/>
    <w:rsid w:val="005C2ADC"/>
    <w:rsid w:val="005C65D0"/>
    <w:rsid w:val="005C6F78"/>
    <w:rsid w:val="005D0928"/>
    <w:rsid w:val="005D128C"/>
    <w:rsid w:val="005D4BE3"/>
    <w:rsid w:val="005D58E5"/>
    <w:rsid w:val="005D6CB8"/>
    <w:rsid w:val="005D7191"/>
    <w:rsid w:val="005D7AA6"/>
    <w:rsid w:val="005D7E12"/>
    <w:rsid w:val="005E0F67"/>
    <w:rsid w:val="005E18BC"/>
    <w:rsid w:val="005E2392"/>
    <w:rsid w:val="005E4275"/>
    <w:rsid w:val="005E5BFB"/>
    <w:rsid w:val="005E699F"/>
    <w:rsid w:val="005E7198"/>
    <w:rsid w:val="005F1BD3"/>
    <w:rsid w:val="005F3464"/>
    <w:rsid w:val="005F3A3E"/>
    <w:rsid w:val="005F57A7"/>
    <w:rsid w:val="005F5E6C"/>
    <w:rsid w:val="005F6AEC"/>
    <w:rsid w:val="00600A84"/>
    <w:rsid w:val="0060126B"/>
    <w:rsid w:val="0060144B"/>
    <w:rsid w:val="00601DC4"/>
    <w:rsid w:val="00602D27"/>
    <w:rsid w:val="0060366E"/>
    <w:rsid w:val="00603E20"/>
    <w:rsid w:val="00606622"/>
    <w:rsid w:val="00606BF6"/>
    <w:rsid w:val="006105AA"/>
    <w:rsid w:val="00610A59"/>
    <w:rsid w:val="00610D7F"/>
    <w:rsid w:val="00611826"/>
    <w:rsid w:val="00611A65"/>
    <w:rsid w:val="00612DDA"/>
    <w:rsid w:val="00614AF9"/>
    <w:rsid w:val="00615717"/>
    <w:rsid w:val="00615867"/>
    <w:rsid w:val="006161BF"/>
    <w:rsid w:val="0061756B"/>
    <w:rsid w:val="006207EC"/>
    <w:rsid w:val="00620D4C"/>
    <w:rsid w:val="00620D94"/>
    <w:rsid w:val="00620DB3"/>
    <w:rsid w:val="00620EE1"/>
    <w:rsid w:val="00621E86"/>
    <w:rsid w:val="00622B7D"/>
    <w:rsid w:val="006240BD"/>
    <w:rsid w:val="0062455F"/>
    <w:rsid w:val="00624E37"/>
    <w:rsid w:val="0062563D"/>
    <w:rsid w:val="00625D8E"/>
    <w:rsid w:val="0062666D"/>
    <w:rsid w:val="00627210"/>
    <w:rsid w:val="006277BF"/>
    <w:rsid w:val="006321B1"/>
    <w:rsid w:val="00633A28"/>
    <w:rsid w:val="00634BF5"/>
    <w:rsid w:val="00634EE4"/>
    <w:rsid w:val="006352A2"/>
    <w:rsid w:val="00635381"/>
    <w:rsid w:val="00637272"/>
    <w:rsid w:val="006374C4"/>
    <w:rsid w:val="00637921"/>
    <w:rsid w:val="00637E86"/>
    <w:rsid w:val="00640BC8"/>
    <w:rsid w:val="00641783"/>
    <w:rsid w:val="00642AD8"/>
    <w:rsid w:val="00643DDD"/>
    <w:rsid w:val="00644641"/>
    <w:rsid w:val="006459B6"/>
    <w:rsid w:val="00645FA5"/>
    <w:rsid w:val="00646FE0"/>
    <w:rsid w:val="00647C03"/>
    <w:rsid w:val="00647DFB"/>
    <w:rsid w:val="006513D5"/>
    <w:rsid w:val="00651E37"/>
    <w:rsid w:val="006526B8"/>
    <w:rsid w:val="00653759"/>
    <w:rsid w:val="00655AEA"/>
    <w:rsid w:val="006562EA"/>
    <w:rsid w:val="0065656E"/>
    <w:rsid w:val="00656878"/>
    <w:rsid w:val="00656A75"/>
    <w:rsid w:val="00656D49"/>
    <w:rsid w:val="006577DA"/>
    <w:rsid w:val="00660099"/>
    <w:rsid w:val="006604AF"/>
    <w:rsid w:val="00661DAE"/>
    <w:rsid w:val="00662168"/>
    <w:rsid w:val="00662D8C"/>
    <w:rsid w:val="00663A50"/>
    <w:rsid w:val="006641FD"/>
    <w:rsid w:val="006646E1"/>
    <w:rsid w:val="006647A3"/>
    <w:rsid w:val="00666177"/>
    <w:rsid w:val="00667943"/>
    <w:rsid w:val="00670CC8"/>
    <w:rsid w:val="00671117"/>
    <w:rsid w:val="00671941"/>
    <w:rsid w:val="00671DCE"/>
    <w:rsid w:val="006726EB"/>
    <w:rsid w:val="00674DE8"/>
    <w:rsid w:val="006754A2"/>
    <w:rsid w:val="00675960"/>
    <w:rsid w:val="006768A6"/>
    <w:rsid w:val="00676F97"/>
    <w:rsid w:val="00680C16"/>
    <w:rsid w:val="00681A56"/>
    <w:rsid w:val="006822C6"/>
    <w:rsid w:val="0068271C"/>
    <w:rsid w:val="00682B76"/>
    <w:rsid w:val="00683B91"/>
    <w:rsid w:val="006850D5"/>
    <w:rsid w:val="00685184"/>
    <w:rsid w:val="006856AA"/>
    <w:rsid w:val="0069113E"/>
    <w:rsid w:val="00691A32"/>
    <w:rsid w:val="0069484C"/>
    <w:rsid w:val="00694A5D"/>
    <w:rsid w:val="00696C5A"/>
    <w:rsid w:val="00696E9E"/>
    <w:rsid w:val="00697451"/>
    <w:rsid w:val="006976B0"/>
    <w:rsid w:val="006A0B7F"/>
    <w:rsid w:val="006A0DD9"/>
    <w:rsid w:val="006A1492"/>
    <w:rsid w:val="006A22F9"/>
    <w:rsid w:val="006A2C69"/>
    <w:rsid w:val="006A3DC8"/>
    <w:rsid w:val="006A5DE7"/>
    <w:rsid w:val="006B0C6A"/>
    <w:rsid w:val="006B0DCB"/>
    <w:rsid w:val="006B173F"/>
    <w:rsid w:val="006B2876"/>
    <w:rsid w:val="006B4808"/>
    <w:rsid w:val="006B4D6E"/>
    <w:rsid w:val="006B714E"/>
    <w:rsid w:val="006B7F18"/>
    <w:rsid w:val="006C0184"/>
    <w:rsid w:val="006C04F3"/>
    <w:rsid w:val="006C2631"/>
    <w:rsid w:val="006C28D8"/>
    <w:rsid w:val="006C3455"/>
    <w:rsid w:val="006C39AF"/>
    <w:rsid w:val="006C3B59"/>
    <w:rsid w:val="006C500A"/>
    <w:rsid w:val="006C7EE9"/>
    <w:rsid w:val="006D0C35"/>
    <w:rsid w:val="006D4678"/>
    <w:rsid w:val="006D47BF"/>
    <w:rsid w:val="006D4AF5"/>
    <w:rsid w:val="006D58B8"/>
    <w:rsid w:val="006D6BC1"/>
    <w:rsid w:val="006D7931"/>
    <w:rsid w:val="006E2420"/>
    <w:rsid w:val="006E4472"/>
    <w:rsid w:val="006E4747"/>
    <w:rsid w:val="006E4FF3"/>
    <w:rsid w:val="006E584A"/>
    <w:rsid w:val="006E7B37"/>
    <w:rsid w:val="006E7C4E"/>
    <w:rsid w:val="006E7E41"/>
    <w:rsid w:val="006F0908"/>
    <w:rsid w:val="006F0EF3"/>
    <w:rsid w:val="006F13B4"/>
    <w:rsid w:val="006F14B0"/>
    <w:rsid w:val="006F1F57"/>
    <w:rsid w:val="006F3A20"/>
    <w:rsid w:val="006F4A53"/>
    <w:rsid w:val="006F503E"/>
    <w:rsid w:val="006F58DB"/>
    <w:rsid w:val="006F6312"/>
    <w:rsid w:val="006F76EF"/>
    <w:rsid w:val="006F7B82"/>
    <w:rsid w:val="007002AC"/>
    <w:rsid w:val="00700380"/>
    <w:rsid w:val="00701249"/>
    <w:rsid w:val="00701747"/>
    <w:rsid w:val="0070249A"/>
    <w:rsid w:val="00702C56"/>
    <w:rsid w:val="0070390D"/>
    <w:rsid w:val="0070466A"/>
    <w:rsid w:val="0070469A"/>
    <w:rsid w:val="007049CB"/>
    <w:rsid w:val="00704BBA"/>
    <w:rsid w:val="00705B99"/>
    <w:rsid w:val="00706B3F"/>
    <w:rsid w:val="00706CA0"/>
    <w:rsid w:val="00706EAC"/>
    <w:rsid w:val="0071070F"/>
    <w:rsid w:val="00710C04"/>
    <w:rsid w:val="0071154B"/>
    <w:rsid w:val="007124CC"/>
    <w:rsid w:val="007129B2"/>
    <w:rsid w:val="00712B72"/>
    <w:rsid w:val="0071378A"/>
    <w:rsid w:val="007137D9"/>
    <w:rsid w:val="00713CA3"/>
    <w:rsid w:val="0071424E"/>
    <w:rsid w:val="00714341"/>
    <w:rsid w:val="00714D4B"/>
    <w:rsid w:val="00714FD9"/>
    <w:rsid w:val="00716B5C"/>
    <w:rsid w:val="007173A2"/>
    <w:rsid w:val="007175D6"/>
    <w:rsid w:val="00717FEF"/>
    <w:rsid w:val="00720C42"/>
    <w:rsid w:val="00721BC8"/>
    <w:rsid w:val="00722985"/>
    <w:rsid w:val="00723B85"/>
    <w:rsid w:val="00724732"/>
    <w:rsid w:val="00725946"/>
    <w:rsid w:val="00725C0A"/>
    <w:rsid w:val="00725C6D"/>
    <w:rsid w:val="00726DBB"/>
    <w:rsid w:val="00726DBF"/>
    <w:rsid w:val="007302AC"/>
    <w:rsid w:val="00730939"/>
    <w:rsid w:val="00732C1C"/>
    <w:rsid w:val="007333B7"/>
    <w:rsid w:val="00736D58"/>
    <w:rsid w:val="0073716B"/>
    <w:rsid w:val="0073723F"/>
    <w:rsid w:val="0073778A"/>
    <w:rsid w:val="0074020A"/>
    <w:rsid w:val="007409C6"/>
    <w:rsid w:val="00741963"/>
    <w:rsid w:val="00742CE6"/>
    <w:rsid w:val="00744DDB"/>
    <w:rsid w:val="007467A0"/>
    <w:rsid w:val="00751483"/>
    <w:rsid w:val="00754F25"/>
    <w:rsid w:val="00756B33"/>
    <w:rsid w:val="00757CD9"/>
    <w:rsid w:val="00760288"/>
    <w:rsid w:val="00760884"/>
    <w:rsid w:val="00761785"/>
    <w:rsid w:val="00762478"/>
    <w:rsid w:val="00763BF8"/>
    <w:rsid w:val="00764F70"/>
    <w:rsid w:val="007650C9"/>
    <w:rsid w:val="007656C7"/>
    <w:rsid w:val="00767A55"/>
    <w:rsid w:val="00772A64"/>
    <w:rsid w:val="00772BC8"/>
    <w:rsid w:val="007733AF"/>
    <w:rsid w:val="007739FE"/>
    <w:rsid w:val="00775866"/>
    <w:rsid w:val="00775DF8"/>
    <w:rsid w:val="00777AEA"/>
    <w:rsid w:val="00781744"/>
    <w:rsid w:val="007818A4"/>
    <w:rsid w:val="007819C7"/>
    <w:rsid w:val="00781D94"/>
    <w:rsid w:val="00781E76"/>
    <w:rsid w:val="007830EB"/>
    <w:rsid w:val="007836AE"/>
    <w:rsid w:val="00784DFE"/>
    <w:rsid w:val="0078553E"/>
    <w:rsid w:val="007858BF"/>
    <w:rsid w:val="00790C15"/>
    <w:rsid w:val="00791B9F"/>
    <w:rsid w:val="00791E3E"/>
    <w:rsid w:val="00794A59"/>
    <w:rsid w:val="00795099"/>
    <w:rsid w:val="007954BA"/>
    <w:rsid w:val="00795660"/>
    <w:rsid w:val="007956BA"/>
    <w:rsid w:val="0079589A"/>
    <w:rsid w:val="00797324"/>
    <w:rsid w:val="007979B5"/>
    <w:rsid w:val="00797BD4"/>
    <w:rsid w:val="007A0900"/>
    <w:rsid w:val="007A0C58"/>
    <w:rsid w:val="007A16FA"/>
    <w:rsid w:val="007A2111"/>
    <w:rsid w:val="007A21F5"/>
    <w:rsid w:val="007A249A"/>
    <w:rsid w:val="007A3A2D"/>
    <w:rsid w:val="007A471F"/>
    <w:rsid w:val="007A6A44"/>
    <w:rsid w:val="007A6A6E"/>
    <w:rsid w:val="007B25B7"/>
    <w:rsid w:val="007B2DEE"/>
    <w:rsid w:val="007C10D3"/>
    <w:rsid w:val="007C2AD0"/>
    <w:rsid w:val="007C36EA"/>
    <w:rsid w:val="007C382A"/>
    <w:rsid w:val="007C3BF9"/>
    <w:rsid w:val="007C40F3"/>
    <w:rsid w:val="007C448A"/>
    <w:rsid w:val="007C4501"/>
    <w:rsid w:val="007C46A0"/>
    <w:rsid w:val="007C66EA"/>
    <w:rsid w:val="007C7358"/>
    <w:rsid w:val="007C78B4"/>
    <w:rsid w:val="007D02D6"/>
    <w:rsid w:val="007D0BF9"/>
    <w:rsid w:val="007D141E"/>
    <w:rsid w:val="007D1B77"/>
    <w:rsid w:val="007D2437"/>
    <w:rsid w:val="007D2683"/>
    <w:rsid w:val="007D3711"/>
    <w:rsid w:val="007D3D9C"/>
    <w:rsid w:val="007D4F74"/>
    <w:rsid w:val="007D56CA"/>
    <w:rsid w:val="007D6BB8"/>
    <w:rsid w:val="007E13A3"/>
    <w:rsid w:val="007E198A"/>
    <w:rsid w:val="007E2267"/>
    <w:rsid w:val="007E30ED"/>
    <w:rsid w:val="007E7825"/>
    <w:rsid w:val="007E787D"/>
    <w:rsid w:val="007E7CEA"/>
    <w:rsid w:val="007F2E49"/>
    <w:rsid w:val="007F4D4F"/>
    <w:rsid w:val="007F6E46"/>
    <w:rsid w:val="007F77C7"/>
    <w:rsid w:val="008000BD"/>
    <w:rsid w:val="008002B0"/>
    <w:rsid w:val="008006AD"/>
    <w:rsid w:val="0080271C"/>
    <w:rsid w:val="00802A5D"/>
    <w:rsid w:val="00802C1F"/>
    <w:rsid w:val="00803346"/>
    <w:rsid w:val="00803C2A"/>
    <w:rsid w:val="008040AE"/>
    <w:rsid w:val="0080686E"/>
    <w:rsid w:val="0080768C"/>
    <w:rsid w:val="0081033F"/>
    <w:rsid w:val="008135B7"/>
    <w:rsid w:val="00813C59"/>
    <w:rsid w:val="0081545F"/>
    <w:rsid w:val="00816D78"/>
    <w:rsid w:val="00817723"/>
    <w:rsid w:val="008213A4"/>
    <w:rsid w:val="00821698"/>
    <w:rsid w:val="008229AF"/>
    <w:rsid w:val="00823767"/>
    <w:rsid w:val="00825021"/>
    <w:rsid w:val="0082550D"/>
    <w:rsid w:val="008268A1"/>
    <w:rsid w:val="00827148"/>
    <w:rsid w:val="00827C3F"/>
    <w:rsid w:val="008303FB"/>
    <w:rsid w:val="008305B3"/>
    <w:rsid w:val="00830881"/>
    <w:rsid w:val="00830AD1"/>
    <w:rsid w:val="00832227"/>
    <w:rsid w:val="0083263F"/>
    <w:rsid w:val="00832FB4"/>
    <w:rsid w:val="008339E0"/>
    <w:rsid w:val="00833F98"/>
    <w:rsid w:val="00836291"/>
    <w:rsid w:val="00837B00"/>
    <w:rsid w:val="008417C4"/>
    <w:rsid w:val="008439D0"/>
    <w:rsid w:val="008467D7"/>
    <w:rsid w:val="00851877"/>
    <w:rsid w:val="008529D3"/>
    <w:rsid w:val="008530F9"/>
    <w:rsid w:val="0085534E"/>
    <w:rsid w:val="00855C12"/>
    <w:rsid w:val="008566FF"/>
    <w:rsid w:val="00856D70"/>
    <w:rsid w:val="00856ED4"/>
    <w:rsid w:val="00857070"/>
    <w:rsid w:val="008647D6"/>
    <w:rsid w:val="0086542F"/>
    <w:rsid w:val="008666B6"/>
    <w:rsid w:val="00866C03"/>
    <w:rsid w:val="00867018"/>
    <w:rsid w:val="0086763A"/>
    <w:rsid w:val="008713E7"/>
    <w:rsid w:val="00871679"/>
    <w:rsid w:val="00871D57"/>
    <w:rsid w:val="00871EF6"/>
    <w:rsid w:val="00872640"/>
    <w:rsid w:val="00872AFA"/>
    <w:rsid w:val="008759E0"/>
    <w:rsid w:val="008765A7"/>
    <w:rsid w:val="00876686"/>
    <w:rsid w:val="00876AD2"/>
    <w:rsid w:val="008771EF"/>
    <w:rsid w:val="00880BC6"/>
    <w:rsid w:val="0088102C"/>
    <w:rsid w:val="008811E8"/>
    <w:rsid w:val="008835E4"/>
    <w:rsid w:val="00883C1D"/>
    <w:rsid w:val="00883C2F"/>
    <w:rsid w:val="008840E0"/>
    <w:rsid w:val="008846CD"/>
    <w:rsid w:val="00885397"/>
    <w:rsid w:val="00886293"/>
    <w:rsid w:val="008863AA"/>
    <w:rsid w:val="00886AA8"/>
    <w:rsid w:val="00886AD4"/>
    <w:rsid w:val="00886BDA"/>
    <w:rsid w:val="00886D34"/>
    <w:rsid w:val="00887B9F"/>
    <w:rsid w:val="00891C8C"/>
    <w:rsid w:val="00892AA1"/>
    <w:rsid w:val="00892E46"/>
    <w:rsid w:val="00893A8C"/>
    <w:rsid w:val="00893B74"/>
    <w:rsid w:val="00893FAC"/>
    <w:rsid w:val="00894FBF"/>
    <w:rsid w:val="0089634F"/>
    <w:rsid w:val="00897C84"/>
    <w:rsid w:val="008A0569"/>
    <w:rsid w:val="008A10BB"/>
    <w:rsid w:val="008A27F4"/>
    <w:rsid w:val="008A2977"/>
    <w:rsid w:val="008A3B29"/>
    <w:rsid w:val="008A3E1F"/>
    <w:rsid w:val="008A4AE8"/>
    <w:rsid w:val="008A56FD"/>
    <w:rsid w:val="008A5DA9"/>
    <w:rsid w:val="008A6A56"/>
    <w:rsid w:val="008A73E6"/>
    <w:rsid w:val="008A7BBE"/>
    <w:rsid w:val="008B05B6"/>
    <w:rsid w:val="008B14D0"/>
    <w:rsid w:val="008B1882"/>
    <w:rsid w:val="008B195E"/>
    <w:rsid w:val="008B45EF"/>
    <w:rsid w:val="008B6F41"/>
    <w:rsid w:val="008B7819"/>
    <w:rsid w:val="008C0EBB"/>
    <w:rsid w:val="008C279A"/>
    <w:rsid w:val="008C398A"/>
    <w:rsid w:val="008C5057"/>
    <w:rsid w:val="008C50F0"/>
    <w:rsid w:val="008C5687"/>
    <w:rsid w:val="008C571A"/>
    <w:rsid w:val="008C6118"/>
    <w:rsid w:val="008C68C2"/>
    <w:rsid w:val="008C7C85"/>
    <w:rsid w:val="008C7E68"/>
    <w:rsid w:val="008D075A"/>
    <w:rsid w:val="008D157A"/>
    <w:rsid w:val="008D17A0"/>
    <w:rsid w:val="008D21A3"/>
    <w:rsid w:val="008D5160"/>
    <w:rsid w:val="008D5A2C"/>
    <w:rsid w:val="008D6287"/>
    <w:rsid w:val="008D6C8C"/>
    <w:rsid w:val="008D7332"/>
    <w:rsid w:val="008E1DD1"/>
    <w:rsid w:val="008E251E"/>
    <w:rsid w:val="008E3E71"/>
    <w:rsid w:val="008E4691"/>
    <w:rsid w:val="008E5B1C"/>
    <w:rsid w:val="008E5CDD"/>
    <w:rsid w:val="008E78F1"/>
    <w:rsid w:val="008E7E10"/>
    <w:rsid w:val="008F04FF"/>
    <w:rsid w:val="008F215F"/>
    <w:rsid w:val="008F23F3"/>
    <w:rsid w:val="008F32A5"/>
    <w:rsid w:val="008F495B"/>
    <w:rsid w:val="008F49B6"/>
    <w:rsid w:val="008F519F"/>
    <w:rsid w:val="008F669F"/>
    <w:rsid w:val="008F6D2B"/>
    <w:rsid w:val="008F7C9F"/>
    <w:rsid w:val="009015A0"/>
    <w:rsid w:val="00903CDE"/>
    <w:rsid w:val="00903D5B"/>
    <w:rsid w:val="009052DC"/>
    <w:rsid w:val="00906A2E"/>
    <w:rsid w:val="009071F1"/>
    <w:rsid w:val="009074D1"/>
    <w:rsid w:val="00911026"/>
    <w:rsid w:val="0091211D"/>
    <w:rsid w:val="00912139"/>
    <w:rsid w:val="00912C99"/>
    <w:rsid w:val="00913D27"/>
    <w:rsid w:val="00914939"/>
    <w:rsid w:val="009149F8"/>
    <w:rsid w:val="009158C1"/>
    <w:rsid w:val="00915AC4"/>
    <w:rsid w:val="009164DF"/>
    <w:rsid w:val="00916F4F"/>
    <w:rsid w:val="009175B9"/>
    <w:rsid w:val="00917FD8"/>
    <w:rsid w:val="00920A03"/>
    <w:rsid w:val="00920C83"/>
    <w:rsid w:val="00921AB4"/>
    <w:rsid w:val="00921E44"/>
    <w:rsid w:val="00922D50"/>
    <w:rsid w:val="00923455"/>
    <w:rsid w:val="00925813"/>
    <w:rsid w:val="009258C0"/>
    <w:rsid w:val="00927582"/>
    <w:rsid w:val="0093077A"/>
    <w:rsid w:val="00931870"/>
    <w:rsid w:val="00931FF2"/>
    <w:rsid w:val="00933E6B"/>
    <w:rsid w:val="00934D6A"/>
    <w:rsid w:val="0093576D"/>
    <w:rsid w:val="00935ACE"/>
    <w:rsid w:val="00937A7E"/>
    <w:rsid w:val="00941657"/>
    <w:rsid w:val="00941A46"/>
    <w:rsid w:val="009424E9"/>
    <w:rsid w:val="00944D1B"/>
    <w:rsid w:val="0094528D"/>
    <w:rsid w:val="00945FF4"/>
    <w:rsid w:val="009503D1"/>
    <w:rsid w:val="0095076D"/>
    <w:rsid w:val="00950DB5"/>
    <w:rsid w:val="00951681"/>
    <w:rsid w:val="00951F9A"/>
    <w:rsid w:val="00952312"/>
    <w:rsid w:val="00952BD8"/>
    <w:rsid w:val="00954AB1"/>
    <w:rsid w:val="00954AE1"/>
    <w:rsid w:val="009562C2"/>
    <w:rsid w:val="00956967"/>
    <w:rsid w:val="00957240"/>
    <w:rsid w:val="00957E9F"/>
    <w:rsid w:val="00960A5D"/>
    <w:rsid w:val="00961A42"/>
    <w:rsid w:val="00962599"/>
    <w:rsid w:val="00962787"/>
    <w:rsid w:val="00964D54"/>
    <w:rsid w:val="009652F6"/>
    <w:rsid w:val="0096553A"/>
    <w:rsid w:val="00971F60"/>
    <w:rsid w:val="00972B0D"/>
    <w:rsid w:val="00972FB2"/>
    <w:rsid w:val="00973288"/>
    <w:rsid w:val="009732EC"/>
    <w:rsid w:val="00973CD2"/>
    <w:rsid w:val="00976ADF"/>
    <w:rsid w:val="0097712A"/>
    <w:rsid w:val="00981F4C"/>
    <w:rsid w:val="0098301E"/>
    <w:rsid w:val="009836C5"/>
    <w:rsid w:val="00983C95"/>
    <w:rsid w:val="00984981"/>
    <w:rsid w:val="009873D4"/>
    <w:rsid w:val="00994469"/>
    <w:rsid w:val="00995097"/>
    <w:rsid w:val="009971F8"/>
    <w:rsid w:val="009A1B9B"/>
    <w:rsid w:val="009A231D"/>
    <w:rsid w:val="009A2B31"/>
    <w:rsid w:val="009A386D"/>
    <w:rsid w:val="009A42F7"/>
    <w:rsid w:val="009A46A7"/>
    <w:rsid w:val="009A471A"/>
    <w:rsid w:val="009A5133"/>
    <w:rsid w:val="009B08F5"/>
    <w:rsid w:val="009B0E13"/>
    <w:rsid w:val="009B1CAA"/>
    <w:rsid w:val="009B3386"/>
    <w:rsid w:val="009B3678"/>
    <w:rsid w:val="009B3E5B"/>
    <w:rsid w:val="009B52BE"/>
    <w:rsid w:val="009B5D0B"/>
    <w:rsid w:val="009C15DE"/>
    <w:rsid w:val="009C1CBD"/>
    <w:rsid w:val="009C1CC6"/>
    <w:rsid w:val="009C55D6"/>
    <w:rsid w:val="009C60E6"/>
    <w:rsid w:val="009C6408"/>
    <w:rsid w:val="009D1BFA"/>
    <w:rsid w:val="009D2518"/>
    <w:rsid w:val="009D254F"/>
    <w:rsid w:val="009D2813"/>
    <w:rsid w:val="009D2871"/>
    <w:rsid w:val="009D7AB4"/>
    <w:rsid w:val="009D7F0A"/>
    <w:rsid w:val="009D7F28"/>
    <w:rsid w:val="009E0B9D"/>
    <w:rsid w:val="009E0EB1"/>
    <w:rsid w:val="009E20CC"/>
    <w:rsid w:val="009E3352"/>
    <w:rsid w:val="009E37DD"/>
    <w:rsid w:val="009E43AC"/>
    <w:rsid w:val="009E44E6"/>
    <w:rsid w:val="009E48BF"/>
    <w:rsid w:val="009E5A45"/>
    <w:rsid w:val="009E6428"/>
    <w:rsid w:val="009E6BB0"/>
    <w:rsid w:val="009E7401"/>
    <w:rsid w:val="009F0226"/>
    <w:rsid w:val="009F0C9C"/>
    <w:rsid w:val="009F10BF"/>
    <w:rsid w:val="009F1A65"/>
    <w:rsid w:val="009F20B1"/>
    <w:rsid w:val="009F234D"/>
    <w:rsid w:val="009F6FAE"/>
    <w:rsid w:val="009F73D8"/>
    <w:rsid w:val="00A0049B"/>
    <w:rsid w:val="00A00C1C"/>
    <w:rsid w:val="00A00D96"/>
    <w:rsid w:val="00A00F18"/>
    <w:rsid w:val="00A04B9C"/>
    <w:rsid w:val="00A05374"/>
    <w:rsid w:val="00A101A0"/>
    <w:rsid w:val="00A10CCD"/>
    <w:rsid w:val="00A11F54"/>
    <w:rsid w:val="00A12E09"/>
    <w:rsid w:val="00A13155"/>
    <w:rsid w:val="00A1359C"/>
    <w:rsid w:val="00A136BB"/>
    <w:rsid w:val="00A156B3"/>
    <w:rsid w:val="00A16881"/>
    <w:rsid w:val="00A17C80"/>
    <w:rsid w:val="00A20160"/>
    <w:rsid w:val="00A20EE7"/>
    <w:rsid w:val="00A21383"/>
    <w:rsid w:val="00A21D7F"/>
    <w:rsid w:val="00A234BC"/>
    <w:rsid w:val="00A23961"/>
    <w:rsid w:val="00A23DE0"/>
    <w:rsid w:val="00A242B3"/>
    <w:rsid w:val="00A24DA6"/>
    <w:rsid w:val="00A253DC"/>
    <w:rsid w:val="00A25672"/>
    <w:rsid w:val="00A25E41"/>
    <w:rsid w:val="00A275B8"/>
    <w:rsid w:val="00A32024"/>
    <w:rsid w:val="00A34A12"/>
    <w:rsid w:val="00A3510B"/>
    <w:rsid w:val="00A35695"/>
    <w:rsid w:val="00A35933"/>
    <w:rsid w:val="00A3651F"/>
    <w:rsid w:val="00A37076"/>
    <w:rsid w:val="00A379A9"/>
    <w:rsid w:val="00A40F5A"/>
    <w:rsid w:val="00A45D6B"/>
    <w:rsid w:val="00A462EB"/>
    <w:rsid w:val="00A503E7"/>
    <w:rsid w:val="00A505C0"/>
    <w:rsid w:val="00A507CC"/>
    <w:rsid w:val="00A50839"/>
    <w:rsid w:val="00A50C98"/>
    <w:rsid w:val="00A50D2D"/>
    <w:rsid w:val="00A52693"/>
    <w:rsid w:val="00A612FD"/>
    <w:rsid w:val="00A6450E"/>
    <w:rsid w:val="00A65102"/>
    <w:rsid w:val="00A67C96"/>
    <w:rsid w:val="00A72219"/>
    <w:rsid w:val="00A73182"/>
    <w:rsid w:val="00A74708"/>
    <w:rsid w:val="00A758D6"/>
    <w:rsid w:val="00A75963"/>
    <w:rsid w:val="00A76396"/>
    <w:rsid w:val="00A76D51"/>
    <w:rsid w:val="00A778C4"/>
    <w:rsid w:val="00A77E20"/>
    <w:rsid w:val="00A8097A"/>
    <w:rsid w:val="00A8196D"/>
    <w:rsid w:val="00A83F82"/>
    <w:rsid w:val="00A84038"/>
    <w:rsid w:val="00A84464"/>
    <w:rsid w:val="00A84CA9"/>
    <w:rsid w:val="00A86C0C"/>
    <w:rsid w:val="00A87795"/>
    <w:rsid w:val="00A87798"/>
    <w:rsid w:val="00A87FA9"/>
    <w:rsid w:val="00A91311"/>
    <w:rsid w:val="00A915C0"/>
    <w:rsid w:val="00A916F7"/>
    <w:rsid w:val="00A91B54"/>
    <w:rsid w:val="00A9226D"/>
    <w:rsid w:val="00A92437"/>
    <w:rsid w:val="00A925AD"/>
    <w:rsid w:val="00A959B5"/>
    <w:rsid w:val="00A96AD9"/>
    <w:rsid w:val="00A97868"/>
    <w:rsid w:val="00A97BF1"/>
    <w:rsid w:val="00AA00A9"/>
    <w:rsid w:val="00AA0284"/>
    <w:rsid w:val="00AA064A"/>
    <w:rsid w:val="00AA16A2"/>
    <w:rsid w:val="00AA2B3C"/>
    <w:rsid w:val="00AA3136"/>
    <w:rsid w:val="00AA38B4"/>
    <w:rsid w:val="00AA4367"/>
    <w:rsid w:val="00AA7BDF"/>
    <w:rsid w:val="00AB171D"/>
    <w:rsid w:val="00AB1ACC"/>
    <w:rsid w:val="00AB32FE"/>
    <w:rsid w:val="00AB367F"/>
    <w:rsid w:val="00AB4893"/>
    <w:rsid w:val="00AB4EEC"/>
    <w:rsid w:val="00AB560D"/>
    <w:rsid w:val="00AB5663"/>
    <w:rsid w:val="00AB57CA"/>
    <w:rsid w:val="00AB5AF3"/>
    <w:rsid w:val="00AB63F5"/>
    <w:rsid w:val="00AC0D78"/>
    <w:rsid w:val="00AC381A"/>
    <w:rsid w:val="00AC454D"/>
    <w:rsid w:val="00AC5B98"/>
    <w:rsid w:val="00AC6D7C"/>
    <w:rsid w:val="00AC6E05"/>
    <w:rsid w:val="00AC7B49"/>
    <w:rsid w:val="00AD054E"/>
    <w:rsid w:val="00AD1ED6"/>
    <w:rsid w:val="00AD2353"/>
    <w:rsid w:val="00AD5809"/>
    <w:rsid w:val="00AD6156"/>
    <w:rsid w:val="00AD6503"/>
    <w:rsid w:val="00AD6E8C"/>
    <w:rsid w:val="00AD7F09"/>
    <w:rsid w:val="00AE0095"/>
    <w:rsid w:val="00AE1354"/>
    <w:rsid w:val="00AE27E1"/>
    <w:rsid w:val="00AE3019"/>
    <w:rsid w:val="00AE3D0D"/>
    <w:rsid w:val="00AE63D3"/>
    <w:rsid w:val="00AE6A87"/>
    <w:rsid w:val="00AF0D86"/>
    <w:rsid w:val="00AF0F52"/>
    <w:rsid w:val="00AF11FE"/>
    <w:rsid w:val="00AF1271"/>
    <w:rsid w:val="00AF40C8"/>
    <w:rsid w:val="00AF4300"/>
    <w:rsid w:val="00AF4AA1"/>
    <w:rsid w:val="00AF524C"/>
    <w:rsid w:val="00AF56BE"/>
    <w:rsid w:val="00AF6063"/>
    <w:rsid w:val="00AF63A8"/>
    <w:rsid w:val="00AF676E"/>
    <w:rsid w:val="00AF7285"/>
    <w:rsid w:val="00AF7455"/>
    <w:rsid w:val="00AF74F1"/>
    <w:rsid w:val="00B036A7"/>
    <w:rsid w:val="00B06B2E"/>
    <w:rsid w:val="00B07CE4"/>
    <w:rsid w:val="00B11924"/>
    <w:rsid w:val="00B12019"/>
    <w:rsid w:val="00B12518"/>
    <w:rsid w:val="00B13C59"/>
    <w:rsid w:val="00B169F6"/>
    <w:rsid w:val="00B16EEA"/>
    <w:rsid w:val="00B1700D"/>
    <w:rsid w:val="00B2044B"/>
    <w:rsid w:val="00B206AE"/>
    <w:rsid w:val="00B21120"/>
    <w:rsid w:val="00B23735"/>
    <w:rsid w:val="00B23845"/>
    <w:rsid w:val="00B23B44"/>
    <w:rsid w:val="00B23C7E"/>
    <w:rsid w:val="00B245A3"/>
    <w:rsid w:val="00B24B8E"/>
    <w:rsid w:val="00B251CC"/>
    <w:rsid w:val="00B2555D"/>
    <w:rsid w:val="00B2578C"/>
    <w:rsid w:val="00B26655"/>
    <w:rsid w:val="00B26ACB"/>
    <w:rsid w:val="00B26EC1"/>
    <w:rsid w:val="00B27FE1"/>
    <w:rsid w:val="00B305BC"/>
    <w:rsid w:val="00B31253"/>
    <w:rsid w:val="00B33132"/>
    <w:rsid w:val="00B33410"/>
    <w:rsid w:val="00B33FEF"/>
    <w:rsid w:val="00B349DC"/>
    <w:rsid w:val="00B34C2A"/>
    <w:rsid w:val="00B3621C"/>
    <w:rsid w:val="00B37BEF"/>
    <w:rsid w:val="00B40005"/>
    <w:rsid w:val="00B40938"/>
    <w:rsid w:val="00B40998"/>
    <w:rsid w:val="00B41554"/>
    <w:rsid w:val="00B428C5"/>
    <w:rsid w:val="00B44089"/>
    <w:rsid w:val="00B449B4"/>
    <w:rsid w:val="00B44E93"/>
    <w:rsid w:val="00B44F37"/>
    <w:rsid w:val="00B47321"/>
    <w:rsid w:val="00B50D9C"/>
    <w:rsid w:val="00B51016"/>
    <w:rsid w:val="00B51275"/>
    <w:rsid w:val="00B51736"/>
    <w:rsid w:val="00B51BC8"/>
    <w:rsid w:val="00B52F44"/>
    <w:rsid w:val="00B53336"/>
    <w:rsid w:val="00B54A55"/>
    <w:rsid w:val="00B54D7C"/>
    <w:rsid w:val="00B5551B"/>
    <w:rsid w:val="00B564DB"/>
    <w:rsid w:val="00B56C52"/>
    <w:rsid w:val="00B61217"/>
    <w:rsid w:val="00B61D42"/>
    <w:rsid w:val="00B639FD"/>
    <w:rsid w:val="00B64D8B"/>
    <w:rsid w:val="00B651E0"/>
    <w:rsid w:val="00B657C2"/>
    <w:rsid w:val="00B65920"/>
    <w:rsid w:val="00B66819"/>
    <w:rsid w:val="00B66838"/>
    <w:rsid w:val="00B669AC"/>
    <w:rsid w:val="00B66D55"/>
    <w:rsid w:val="00B67239"/>
    <w:rsid w:val="00B67FC3"/>
    <w:rsid w:val="00B70613"/>
    <w:rsid w:val="00B72326"/>
    <w:rsid w:val="00B73525"/>
    <w:rsid w:val="00B7526D"/>
    <w:rsid w:val="00B755D9"/>
    <w:rsid w:val="00B763B3"/>
    <w:rsid w:val="00B76BA3"/>
    <w:rsid w:val="00B805C4"/>
    <w:rsid w:val="00B80991"/>
    <w:rsid w:val="00B81BBA"/>
    <w:rsid w:val="00B8269B"/>
    <w:rsid w:val="00B83296"/>
    <w:rsid w:val="00B850E2"/>
    <w:rsid w:val="00B8791C"/>
    <w:rsid w:val="00B904DD"/>
    <w:rsid w:val="00B9218F"/>
    <w:rsid w:val="00B92EDF"/>
    <w:rsid w:val="00B94C48"/>
    <w:rsid w:val="00B95F9A"/>
    <w:rsid w:val="00B969C3"/>
    <w:rsid w:val="00B97D1E"/>
    <w:rsid w:val="00BA05E5"/>
    <w:rsid w:val="00BA06AB"/>
    <w:rsid w:val="00BA1B0B"/>
    <w:rsid w:val="00BA2053"/>
    <w:rsid w:val="00BA3539"/>
    <w:rsid w:val="00BA35BB"/>
    <w:rsid w:val="00BA3636"/>
    <w:rsid w:val="00BA36A5"/>
    <w:rsid w:val="00BA3CA8"/>
    <w:rsid w:val="00BA5350"/>
    <w:rsid w:val="00BA6A7C"/>
    <w:rsid w:val="00BA7462"/>
    <w:rsid w:val="00BA790F"/>
    <w:rsid w:val="00BB188B"/>
    <w:rsid w:val="00BB226C"/>
    <w:rsid w:val="00BB229E"/>
    <w:rsid w:val="00BB4665"/>
    <w:rsid w:val="00BB564D"/>
    <w:rsid w:val="00BB5BBD"/>
    <w:rsid w:val="00BC0C6A"/>
    <w:rsid w:val="00BC11CD"/>
    <w:rsid w:val="00BC1676"/>
    <w:rsid w:val="00BC210E"/>
    <w:rsid w:val="00BC27DE"/>
    <w:rsid w:val="00BC362A"/>
    <w:rsid w:val="00BC4519"/>
    <w:rsid w:val="00BC52BC"/>
    <w:rsid w:val="00BC5B4E"/>
    <w:rsid w:val="00BC717C"/>
    <w:rsid w:val="00BC77EF"/>
    <w:rsid w:val="00BD1CBC"/>
    <w:rsid w:val="00BD1DE6"/>
    <w:rsid w:val="00BD3FD6"/>
    <w:rsid w:val="00BD47F1"/>
    <w:rsid w:val="00BD4CBF"/>
    <w:rsid w:val="00BD55E9"/>
    <w:rsid w:val="00BD5D19"/>
    <w:rsid w:val="00BD76AB"/>
    <w:rsid w:val="00BD7750"/>
    <w:rsid w:val="00BD7FDF"/>
    <w:rsid w:val="00BE06B4"/>
    <w:rsid w:val="00BE1753"/>
    <w:rsid w:val="00BE18C9"/>
    <w:rsid w:val="00BE1FAB"/>
    <w:rsid w:val="00BE3B6F"/>
    <w:rsid w:val="00BE3D0A"/>
    <w:rsid w:val="00BE4104"/>
    <w:rsid w:val="00BE7218"/>
    <w:rsid w:val="00BE75BB"/>
    <w:rsid w:val="00BF1048"/>
    <w:rsid w:val="00BF13A2"/>
    <w:rsid w:val="00BF1A8E"/>
    <w:rsid w:val="00BF3904"/>
    <w:rsid w:val="00BF44E7"/>
    <w:rsid w:val="00BF4FB3"/>
    <w:rsid w:val="00BF6780"/>
    <w:rsid w:val="00BF6B36"/>
    <w:rsid w:val="00C002B2"/>
    <w:rsid w:val="00C01981"/>
    <w:rsid w:val="00C01B32"/>
    <w:rsid w:val="00C0201A"/>
    <w:rsid w:val="00C03D12"/>
    <w:rsid w:val="00C03E47"/>
    <w:rsid w:val="00C061C6"/>
    <w:rsid w:val="00C07DA6"/>
    <w:rsid w:val="00C10346"/>
    <w:rsid w:val="00C10952"/>
    <w:rsid w:val="00C10C1A"/>
    <w:rsid w:val="00C10FE9"/>
    <w:rsid w:val="00C114DC"/>
    <w:rsid w:val="00C12820"/>
    <w:rsid w:val="00C129AD"/>
    <w:rsid w:val="00C13AF3"/>
    <w:rsid w:val="00C14642"/>
    <w:rsid w:val="00C14E02"/>
    <w:rsid w:val="00C15204"/>
    <w:rsid w:val="00C15BEC"/>
    <w:rsid w:val="00C169F7"/>
    <w:rsid w:val="00C1722E"/>
    <w:rsid w:val="00C20E41"/>
    <w:rsid w:val="00C21D54"/>
    <w:rsid w:val="00C23CD1"/>
    <w:rsid w:val="00C26557"/>
    <w:rsid w:val="00C27104"/>
    <w:rsid w:val="00C27AC4"/>
    <w:rsid w:val="00C3082A"/>
    <w:rsid w:val="00C30A18"/>
    <w:rsid w:val="00C3360D"/>
    <w:rsid w:val="00C338EA"/>
    <w:rsid w:val="00C3398F"/>
    <w:rsid w:val="00C34CB4"/>
    <w:rsid w:val="00C35D21"/>
    <w:rsid w:val="00C37900"/>
    <w:rsid w:val="00C40DC7"/>
    <w:rsid w:val="00C426EA"/>
    <w:rsid w:val="00C42927"/>
    <w:rsid w:val="00C42953"/>
    <w:rsid w:val="00C42A99"/>
    <w:rsid w:val="00C4602B"/>
    <w:rsid w:val="00C4664D"/>
    <w:rsid w:val="00C50BB0"/>
    <w:rsid w:val="00C50BB6"/>
    <w:rsid w:val="00C5236B"/>
    <w:rsid w:val="00C526EA"/>
    <w:rsid w:val="00C52AFE"/>
    <w:rsid w:val="00C544C6"/>
    <w:rsid w:val="00C54547"/>
    <w:rsid w:val="00C55453"/>
    <w:rsid w:val="00C5580D"/>
    <w:rsid w:val="00C5605E"/>
    <w:rsid w:val="00C567B9"/>
    <w:rsid w:val="00C57B49"/>
    <w:rsid w:val="00C60011"/>
    <w:rsid w:val="00C60F69"/>
    <w:rsid w:val="00C614D6"/>
    <w:rsid w:val="00C614F5"/>
    <w:rsid w:val="00C642CF"/>
    <w:rsid w:val="00C65892"/>
    <w:rsid w:val="00C6783E"/>
    <w:rsid w:val="00C71DE1"/>
    <w:rsid w:val="00C72138"/>
    <w:rsid w:val="00C726B5"/>
    <w:rsid w:val="00C739B0"/>
    <w:rsid w:val="00C73C57"/>
    <w:rsid w:val="00C746C5"/>
    <w:rsid w:val="00C76869"/>
    <w:rsid w:val="00C80581"/>
    <w:rsid w:val="00C81258"/>
    <w:rsid w:val="00C814BB"/>
    <w:rsid w:val="00C818F1"/>
    <w:rsid w:val="00C819D0"/>
    <w:rsid w:val="00C819F0"/>
    <w:rsid w:val="00C82FA1"/>
    <w:rsid w:val="00C83E3F"/>
    <w:rsid w:val="00C840D5"/>
    <w:rsid w:val="00C845D9"/>
    <w:rsid w:val="00C84E43"/>
    <w:rsid w:val="00C85255"/>
    <w:rsid w:val="00C852AB"/>
    <w:rsid w:val="00C85A46"/>
    <w:rsid w:val="00C86F00"/>
    <w:rsid w:val="00C871B0"/>
    <w:rsid w:val="00C874F6"/>
    <w:rsid w:val="00C87831"/>
    <w:rsid w:val="00C92902"/>
    <w:rsid w:val="00C93A75"/>
    <w:rsid w:val="00C94B89"/>
    <w:rsid w:val="00C9633C"/>
    <w:rsid w:val="00C96DB1"/>
    <w:rsid w:val="00C97730"/>
    <w:rsid w:val="00C97C6D"/>
    <w:rsid w:val="00C97FC7"/>
    <w:rsid w:val="00CA015F"/>
    <w:rsid w:val="00CA1B3F"/>
    <w:rsid w:val="00CA26C2"/>
    <w:rsid w:val="00CA3EC3"/>
    <w:rsid w:val="00CA3ED7"/>
    <w:rsid w:val="00CA4F54"/>
    <w:rsid w:val="00CA5F96"/>
    <w:rsid w:val="00CA69CE"/>
    <w:rsid w:val="00CB1FFF"/>
    <w:rsid w:val="00CB40B3"/>
    <w:rsid w:val="00CB45C5"/>
    <w:rsid w:val="00CB48D7"/>
    <w:rsid w:val="00CB60F6"/>
    <w:rsid w:val="00CB690F"/>
    <w:rsid w:val="00CC0C37"/>
    <w:rsid w:val="00CC266E"/>
    <w:rsid w:val="00CC3935"/>
    <w:rsid w:val="00CC3E9A"/>
    <w:rsid w:val="00CC5551"/>
    <w:rsid w:val="00CC555D"/>
    <w:rsid w:val="00CC58F5"/>
    <w:rsid w:val="00CC657D"/>
    <w:rsid w:val="00CC67BD"/>
    <w:rsid w:val="00CD1051"/>
    <w:rsid w:val="00CD1964"/>
    <w:rsid w:val="00CD2FA6"/>
    <w:rsid w:val="00CD326C"/>
    <w:rsid w:val="00CD5E97"/>
    <w:rsid w:val="00CD7C47"/>
    <w:rsid w:val="00CE19A2"/>
    <w:rsid w:val="00CE27E3"/>
    <w:rsid w:val="00CE2BBD"/>
    <w:rsid w:val="00CE2CEC"/>
    <w:rsid w:val="00CE2DEF"/>
    <w:rsid w:val="00CE4A3C"/>
    <w:rsid w:val="00CE5452"/>
    <w:rsid w:val="00CE5D03"/>
    <w:rsid w:val="00CE614B"/>
    <w:rsid w:val="00CE61D8"/>
    <w:rsid w:val="00CE68F9"/>
    <w:rsid w:val="00CF11D5"/>
    <w:rsid w:val="00CF1854"/>
    <w:rsid w:val="00CF19A9"/>
    <w:rsid w:val="00CF1B30"/>
    <w:rsid w:val="00CF2057"/>
    <w:rsid w:val="00CF27BA"/>
    <w:rsid w:val="00CF4318"/>
    <w:rsid w:val="00CF4CBA"/>
    <w:rsid w:val="00CF616B"/>
    <w:rsid w:val="00CF74FC"/>
    <w:rsid w:val="00CF7626"/>
    <w:rsid w:val="00CF7F93"/>
    <w:rsid w:val="00D00605"/>
    <w:rsid w:val="00D01B99"/>
    <w:rsid w:val="00D0250B"/>
    <w:rsid w:val="00D0415F"/>
    <w:rsid w:val="00D042DD"/>
    <w:rsid w:val="00D04B51"/>
    <w:rsid w:val="00D04F20"/>
    <w:rsid w:val="00D05A75"/>
    <w:rsid w:val="00D071F9"/>
    <w:rsid w:val="00D104D0"/>
    <w:rsid w:val="00D10985"/>
    <w:rsid w:val="00D12B7A"/>
    <w:rsid w:val="00D1311B"/>
    <w:rsid w:val="00D132C1"/>
    <w:rsid w:val="00D14EE6"/>
    <w:rsid w:val="00D17896"/>
    <w:rsid w:val="00D20CA0"/>
    <w:rsid w:val="00D20FAA"/>
    <w:rsid w:val="00D212FA"/>
    <w:rsid w:val="00D21C40"/>
    <w:rsid w:val="00D2205E"/>
    <w:rsid w:val="00D226B9"/>
    <w:rsid w:val="00D237C9"/>
    <w:rsid w:val="00D26984"/>
    <w:rsid w:val="00D274B0"/>
    <w:rsid w:val="00D27AFD"/>
    <w:rsid w:val="00D30C7C"/>
    <w:rsid w:val="00D330A6"/>
    <w:rsid w:val="00D33558"/>
    <w:rsid w:val="00D34568"/>
    <w:rsid w:val="00D34796"/>
    <w:rsid w:val="00D3612A"/>
    <w:rsid w:val="00D36A74"/>
    <w:rsid w:val="00D378E3"/>
    <w:rsid w:val="00D37A1A"/>
    <w:rsid w:val="00D40B72"/>
    <w:rsid w:val="00D41169"/>
    <w:rsid w:val="00D42F8B"/>
    <w:rsid w:val="00D437D7"/>
    <w:rsid w:val="00D43A08"/>
    <w:rsid w:val="00D44250"/>
    <w:rsid w:val="00D45A6D"/>
    <w:rsid w:val="00D45D1C"/>
    <w:rsid w:val="00D464D7"/>
    <w:rsid w:val="00D466F5"/>
    <w:rsid w:val="00D5019F"/>
    <w:rsid w:val="00D50C7A"/>
    <w:rsid w:val="00D521B9"/>
    <w:rsid w:val="00D52258"/>
    <w:rsid w:val="00D53336"/>
    <w:rsid w:val="00D546D3"/>
    <w:rsid w:val="00D54885"/>
    <w:rsid w:val="00D549E7"/>
    <w:rsid w:val="00D577A4"/>
    <w:rsid w:val="00D602D4"/>
    <w:rsid w:val="00D60388"/>
    <w:rsid w:val="00D615E3"/>
    <w:rsid w:val="00D61BD7"/>
    <w:rsid w:val="00D6428D"/>
    <w:rsid w:val="00D65388"/>
    <w:rsid w:val="00D676B3"/>
    <w:rsid w:val="00D7114E"/>
    <w:rsid w:val="00D71D3E"/>
    <w:rsid w:val="00D73ABD"/>
    <w:rsid w:val="00D741DF"/>
    <w:rsid w:val="00D74372"/>
    <w:rsid w:val="00D74C5A"/>
    <w:rsid w:val="00D75D20"/>
    <w:rsid w:val="00D76234"/>
    <w:rsid w:val="00D76D4C"/>
    <w:rsid w:val="00D819FC"/>
    <w:rsid w:val="00D81F78"/>
    <w:rsid w:val="00D83863"/>
    <w:rsid w:val="00D85565"/>
    <w:rsid w:val="00D85649"/>
    <w:rsid w:val="00D86443"/>
    <w:rsid w:val="00D92B76"/>
    <w:rsid w:val="00D94840"/>
    <w:rsid w:val="00D951F3"/>
    <w:rsid w:val="00D95708"/>
    <w:rsid w:val="00D9626A"/>
    <w:rsid w:val="00D964A9"/>
    <w:rsid w:val="00DA045A"/>
    <w:rsid w:val="00DA1124"/>
    <w:rsid w:val="00DA159D"/>
    <w:rsid w:val="00DA30C4"/>
    <w:rsid w:val="00DA4A40"/>
    <w:rsid w:val="00DA761B"/>
    <w:rsid w:val="00DA764C"/>
    <w:rsid w:val="00DA7DEC"/>
    <w:rsid w:val="00DB2590"/>
    <w:rsid w:val="00DB34BF"/>
    <w:rsid w:val="00DB43C3"/>
    <w:rsid w:val="00DB5779"/>
    <w:rsid w:val="00DB5796"/>
    <w:rsid w:val="00DB58BB"/>
    <w:rsid w:val="00DB5DD8"/>
    <w:rsid w:val="00DB6444"/>
    <w:rsid w:val="00DC0350"/>
    <w:rsid w:val="00DC0A4B"/>
    <w:rsid w:val="00DC0ACB"/>
    <w:rsid w:val="00DC11DA"/>
    <w:rsid w:val="00DC1D8E"/>
    <w:rsid w:val="00DC1F62"/>
    <w:rsid w:val="00DC275D"/>
    <w:rsid w:val="00DC3FE8"/>
    <w:rsid w:val="00DD116B"/>
    <w:rsid w:val="00DD2C42"/>
    <w:rsid w:val="00DD4D70"/>
    <w:rsid w:val="00DD64BB"/>
    <w:rsid w:val="00DE1607"/>
    <w:rsid w:val="00DE2A13"/>
    <w:rsid w:val="00DE2B53"/>
    <w:rsid w:val="00DE3313"/>
    <w:rsid w:val="00DE430E"/>
    <w:rsid w:val="00DE47BF"/>
    <w:rsid w:val="00DE5CA9"/>
    <w:rsid w:val="00DE7D5F"/>
    <w:rsid w:val="00DF29A4"/>
    <w:rsid w:val="00DF2F87"/>
    <w:rsid w:val="00DF3607"/>
    <w:rsid w:val="00DF405E"/>
    <w:rsid w:val="00DF4442"/>
    <w:rsid w:val="00DF54A7"/>
    <w:rsid w:val="00DF66B6"/>
    <w:rsid w:val="00DF77C4"/>
    <w:rsid w:val="00E006F2"/>
    <w:rsid w:val="00E0157A"/>
    <w:rsid w:val="00E01FDC"/>
    <w:rsid w:val="00E02491"/>
    <w:rsid w:val="00E02E24"/>
    <w:rsid w:val="00E05DA5"/>
    <w:rsid w:val="00E10122"/>
    <w:rsid w:val="00E10C7B"/>
    <w:rsid w:val="00E1137D"/>
    <w:rsid w:val="00E11846"/>
    <w:rsid w:val="00E122C4"/>
    <w:rsid w:val="00E12864"/>
    <w:rsid w:val="00E14479"/>
    <w:rsid w:val="00E14ACC"/>
    <w:rsid w:val="00E15671"/>
    <w:rsid w:val="00E163B2"/>
    <w:rsid w:val="00E17536"/>
    <w:rsid w:val="00E21482"/>
    <w:rsid w:val="00E21E77"/>
    <w:rsid w:val="00E226CA"/>
    <w:rsid w:val="00E2368E"/>
    <w:rsid w:val="00E23B34"/>
    <w:rsid w:val="00E2485B"/>
    <w:rsid w:val="00E24A99"/>
    <w:rsid w:val="00E24BEC"/>
    <w:rsid w:val="00E255EA"/>
    <w:rsid w:val="00E26755"/>
    <w:rsid w:val="00E26968"/>
    <w:rsid w:val="00E27D51"/>
    <w:rsid w:val="00E30509"/>
    <w:rsid w:val="00E30537"/>
    <w:rsid w:val="00E312E9"/>
    <w:rsid w:val="00E32637"/>
    <w:rsid w:val="00E329F4"/>
    <w:rsid w:val="00E32A4B"/>
    <w:rsid w:val="00E33354"/>
    <w:rsid w:val="00E33389"/>
    <w:rsid w:val="00E35076"/>
    <w:rsid w:val="00E3545C"/>
    <w:rsid w:val="00E35D1C"/>
    <w:rsid w:val="00E365B4"/>
    <w:rsid w:val="00E3708B"/>
    <w:rsid w:val="00E374B7"/>
    <w:rsid w:val="00E37ABF"/>
    <w:rsid w:val="00E4183F"/>
    <w:rsid w:val="00E43CFA"/>
    <w:rsid w:val="00E440FB"/>
    <w:rsid w:val="00E4480C"/>
    <w:rsid w:val="00E44C09"/>
    <w:rsid w:val="00E44E51"/>
    <w:rsid w:val="00E45AEB"/>
    <w:rsid w:val="00E4673A"/>
    <w:rsid w:val="00E4757B"/>
    <w:rsid w:val="00E5085C"/>
    <w:rsid w:val="00E50D6F"/>
    <w:rsid w:val="00E5195E"/>
    <w:rsid w:val="00E537C7"/>
    <w:rsid w:val="00E53F6B"/>
    <w:rsid w:val="00E53F8B"/>
    <w:rsid w:val="00E543E9"/>
    <w:rsid w:val="00E54E8A"/>
    <w:rsid w:val="00E555F5"/>
    <w:rsid w:val="00E55AA1"/>
    <w:rsid w:val="00E57F5E"/>
    <w:rsid w:val="00E60ADF"/>
    <w:rsid w:val="00E639AF"/>
    <w:rsid w:val="00E63B1A"/>
    <w:rsid w:val="00E66A9B"/>
    <w:rsid w:val="00E670D4"/>
    <w:rsid w:val="00E714A4"/>
    <w:rsid w:val="00E71E24"/>
    <w:rsid w:val="00E742A7"/>
    <w:rsid w:val="00E748A0"/>
    <w:rsid w:val="00E80035"/>
    <w:rsid w:val="00E8154F"/>
    <w:rsid w:val="00E821EA"/>
    <w:rsid w:val="00E830C8"/>
    <w:rsid w:val="00E83EFA"/>
    <w:rsid w:val="00E85026"/>
    <w:rsid w:val="00E85E06"/>
    <w:rsid w:val="00E86072"/>
    <w:rsid w:val="00E9013F"/>
    <w:rsid w:val="00E91DD2"/>
    <w:rsid w:val="00E93234"/>
    <w:rsid w:val="00E932C5"/>
    <w:rsid w:val="00E93AD0"/>
    <w:rsid w:val="00E94087"/>
    <w:rsid w:val="00E951AE"/>
    <w:rsid w:val="00E95303"/>
    <w:rsid w:val="00E96937"/>
    <w:rsid w:val="00E97F58"/>
    <w:rsid w:val="00EA020B"/>
    <w:rsid w:val="00EA025A"/>
    <w:rsid w:val="00EA0499"/>
    <w:rsid w:val="00EA1C5A"/>
    <w:rsid w:val="00EA24E1"/>
    <w:rsid w:val="00EA26EB"/>
    <w:rsid w:val="00EA2C57"/>
    <w:rsid w:val="00EA3C69"/>
    <w:rsid w:val="00EA3F09"/>
    <w:rsid w:val="00EA44CE"/>
    <w:rsid w:val="00EA456A"/>
    <w:rsid w:val="00EA55FC"/>
    <w:rsid w:val="00EA5ED4"/>
    <w:rsid w:val="00EA6953"/>
    <w:rsid w:val="00EA6B0B"/>
    <w:rsid w:val="00EB16B8"/>
    <w:rsid w:val="00EB3A4C"/>
    <w:rsid w:val="00EB5471"/>
    <w:rsid w:val="00EB572A"/>
    <w:rsid w:val="00EB58A2"/>
    <w:rsid w:val="00EB601E"/>
    <w:rsid w:val="00EB63CC"/>
    <w:rsid w:val="00EB66F9"/>
    <w:rsid w:val="00EB6F2E"/>
    <w:rsid w:val="00EC0602"/>
    <w:rsid w:val="00EC0DD7"/>
    <w:rsid w:val="00EC645D"/>
    <w:rsid w:val="00EC6A79"/>
    <w:rsid w:val="00ED1921"/>
    <w:rsid w:val="00ED21BC"/>
    <w:rsid w:val="00ED2A95"/>
    <w:rsid w:val="00ED361A"/>
    <w:rsid w:val="00ED47EB"/>
    <w:rsid w:val="00ED5AF4"/>
    <w:rsid w:val="00ED654C"/>
    <w:rsid w:val="00ED6E7B"/>
    <w:rsid w:val="00EE05A6"/>
    <w:rsid w:val="00EE07D2"/>
    <w:rsid w:val="00EE298D"/>
    <w:rsid w:val="00EE2B14"/>
    <w:rsid w:val="00EE2D38"/>
    <w:rsid w:val="00EE4203"/>
    <w:rsid w:val="00EE4B3C"/>
    <w:rsid w:val="00EE4F6B"/>
    <w:rsid w:val="00EE588C"/>
    <w:rsid w:val="00EE5E8B"/>
    <w:rsid w:val="00EE645F"/>
    <w:rsid w:val="00EF0B0E"/>
    <w:rsid w:val="00EF105D"/>
    <w:rsid w:val="00EF2FE2"/>
    <w:rsid w:val="00EF410F"/>
    <w:rsid w:val="00EF4550"/>
    <w:rsid w:val="00EF5662"/>
    <w:rsid w:val="00EF5C33"/>
    <w:rsid w:val="00EF6B21"/>
    <w:rsid w:val="00EF6B3E"/>
    <w:rsid w:val="00EF7B97"/>
    <w:rsid w:val="00EF7FBD"/>
    <w:rsid w:val="00F00C63"/>
    <w:rsid w:val="00F012AB"/>
    <w:rsid w:val="00F019A6"/>
    <w:rsid w:val="00F021E8"/>
    <w:rsid w:val="00F02D88"/>
    <w:rsid w:val="00F0474B"/>
    <w:rsid w:val="00F04A32"/>
    <w:rsid w:val="00F05AC1"/>
    <w:rsid w:val="00F05B5E"/>
    <w:rsid w:val="00F100B0"/>
    <w:rsid w:val="00F10821"/>
    <w:rsid w:val="00F10BB7"/>
    <w:rsid w:val="00F10BBD"/>
    <w:rsid w:val="00F10D7E"/>
    <w:rsid w:val="00F119B9"/>
    <w:rsid w:val="00F1288E"/>
    <w:rsid w:val="00F13402"/>
    <w:rsid w:val="00F154DA"/>
    <w:rsid w:val="00F163E7"/>
    <w:rsid w:val="00F16578"/>
    <w:rsid w:val="00F16F37"/>
    <w:rsid w:val="00F172EF"/>
    <w:rsid w:val="00F2014F"/>
    <w:rsid w:val="00F212CC"/>
    <w:rsid w:val="00F217A6"/>
    <w:rsid w:val="00F226B6"/>
    <w:rsid w:val="00F23547"/>
    <w:rsid w:val="00F254C6"/>
    <w:rsid w:val="00F257D4"/>
    <w:rsid w:val="00F266D1"/>
    <w:rsid w:val="00F3090C"/>
    <w:rsid w:val="00F33DAC"/>
    <w:rsid w:val="00F342CA"/>
    <w:rsid w:val="00F34592"/>
    <w:rsid w:val="00F356D1"/>
    <w:rsid w:val="00F35B9C"/>
    <w:rsid w:val="00F36E17"/>
    <w:rsid w:val="00F379F4"/>
    <w:rsid w:val="00F37A71"/>
    <w:rsid w:val="00F42363"/>
    <w:rsid w:val="00F429FB"/>
    <w:rsid w:val="00F4491A"/>
    <w:rsid w:val="00F45BAD"/>
    <w:rsid w:val="00F45ED1"/>
    <w:rsid w:val="00F45F41"/>
    <w:rsid w:val="00F4683A"/>
    <w:rsid w:val="00F47529"/>
    <w:rsid w:val="00F4782F"/>
    <w:rsid w:val="00F4788E"/>
    <w:rsid w:val="00F50056"/>
    <w:rsid w:val="00F50AE9"/>
    <w:rsid w:val="00F5584A"/>
    <w:rsid w:val="00F55F71"/>
    <w:rsid w:val="00F566A4"/>
    <w:rsid w:val="00F600CC"/>
    <w:rsid w:val="00F606BF"/>
    <w:rsid w:val="00F61071"/>
    <w:rsid w:val="00F615FE"/>
    <w:rsid w:val="00F616F8"/>
    <w:rsid w:val="00F61EBC"/>
    <w:rsid w:val="00F6329A"/>
    <w:rsid w:val="00F640C7"/>
    <w:rsid w:val="00F64109"/>
    <w:rsid w:val="00F643E4"/>
    <w:rsid w:val="00F66C60"/>
    <w:rsid w:val="00F67416"/>
    <w:rsid w:val="00F7037F"/>
    <w:rsid w:val="00F70D72"/>
    <w:rsid w:val="00F72A31"/>
    <w:rsid w:val="00F73CE1"/>
    <w:rsid w:val="00F7436B"/>
    <w:rsid w:val="00F753AB"/>
    <w:rsid w:val="00F75BB2"/>
    <w:rsid w:val="00F764DF"/>
    <w:rsid w:val="00F76CF4"/>
    <w:rsid w:val="00F8084D"/>
    <w:rsid w:val="00F80A63"/>
    <w:rsid w:val="00F80FB5"/>
    <w:rsid w:val="00F819C0"/>
    <w:rsid w:val="00F81F70"/>
    <w:rsid w:val="00F84D0A"/>
    <w:rsid w:val="00F8531C"/>
    <w:rsid w:val="00F85C11"/>
    <w:rsid w:val="00F90903"/>
    <w:rsid w:val="00F91C54"/>
    <w:rsid w:val="00F928A8"/>
    <w:rsid w:val="00F92CF9"/>
    <w:rsid w:val="00F93FAA"/>
    <w:rsid w:val="00F9427A"/>
    <w:rsid w:val="00F94EEB"/>
    <w:rsid w:val="00F95AA8"/>
    <w:rsid w:val="00F961AC"/>
    <w:rsid w:val="00FA044F"/>
    <w:rsid w:val="00FA0F70"/>
    <w:rsid w:val="00FA1405"/>
    <w:rsid w:val="00FA2279"/>
    <w:rsid w:val="00FA23C6"/>
    <w:rsid w:val="00FA2CC9"/>
    <w:rsid w:val="00FA3A46"/>
    <w:rsid w:val="00FA4272"/>
    <w:rsid w:val="00FA4E56"/>
    <w:rsid w:val="00FA59A7"/>
    <w:rsid w:val="00FA5B53"/>
    <w:rsid w:val="00FA713C"/>
    <w:rsid w:val="00FA7AA8"/>
    <w:rsid w:val="00FA7B65"/>
    <w:rsid w:val="00FB0ED1"/>
    <w:rsid w:val="00FB1024"/>
    <w:rsid w:val="00FB2962"/>
    <w:rsid w:val="00FB2CFE"/>
    <w:rsid w:val="00FB31E2"/>
    <w:rsid w:val="00FB3EA4"/>
    <w:rsid w:val="00FB412F"/>
    <w:rsid w:val="00FB5C21"/>
    <w:rsid w:val="00FB6791"/>
    <w:rsid w:val="00FC0562"/>
    <w:rsid w:val="00FC1E6E"/>
    <w:rsid w:val="00FC330D"/>
    <w:rsid w:val="00FC3E54"/>
    <w:rsid w:val="00FC4F7A"/>
    <w:rsid w:val="00FC6940"/>
    <w:rsid w:val="00FC6D32"/>
    <w:rsid w:val="00FC7686"/>
    <w:rsid w:val="00FC79AA"/>
    <w:rsid w:val="00FC7BB9"/>
    <w:rsid w:val="00FC7EAD"/>
    <w:rsid w:val="00FD0F71"/>
    <w:rsid w:val="00FD1183"/>
    <w:rsid w:val="00FD3435"/>
    <w:rsid w:val="00FD40B1"/>
    <w:rsid w:val="00FD47D4"/>
    <w:rsid w:val="00FD4CD7"/>
    <w:rsid w:val="00FD5BFD"/>
    <w:rsid w:val="00FD65FE"/>
    <w:rsid w:val="00FD67CD"/>
    <w:rsid w:val="00FD6F1D"/>
    <w:rsid w:val="00FD777A"/>
    <w:rsid w:val="00FE0787"/>
    <w:rsid w:val="00FE0D15"/>
    <w:rsid w:val="00FE0E3B"/>
    <w:rsid w:val="00FE173E"/>
    <w:rsid w:val="00FE1FF8"/>
    <w:rsid w:val="00FE24E3"/>
    <w:rsid w:val="00FE34A2"/>
    <w:rsid w:val="00FE4997"/>
    <w:rsid w:val="00FE4FFB"/>
    <w:rsid w:val="00FE65C0"/>
    <w:rsid w:val="00FE7BB6"/>
    <w:rsid w:val="00FF0B08"/>
    <w:rsid w:val="00FF2E39"/>
    <w:rsid w:val="00FF51C3"/>
    <w:rsid w:val="00FF56F3"/>
    <w:rsid w:val="00FF6025"/>
    <w:rsid w:val="00FF63B1"/>
    <w:rsid w:val="00FF7B1D"/>
    <w:rsid w:val="00FF7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6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0F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F70"/>
    <w:rPr>
      <w:sz w:val="20"/>
      <w:szCs w:val="20"/>
    </w:rPr>
  </w:style>
  <w:style w:type="character" w:styleId="EndnoteReference">
    <w:name w:val="endnote reference"/>
    <w:basedOn w:val="DefaultParagraphFont"/>
    <w:uiPriority w:val="99"/>
    <w:semiHidden/>
    <w:unhideWhenUsed/>
    <w:rsid w:val="00FA0F70"/>
    <w:rPr>
      <w:vertAlign w:val="superscript"/>
    </w:rPr>
  </w:style>
  <w:style w:type="paragraph" w:styleId="ListParagraph">
    <w:name w:val="List Paragraph"/>
    <w:basedOn w:val="Normal"/>
    <w:uiPriority w:val="34"/>
    <w:qFormat/>
    <w:rsid w:val="00553DF5"/>
    <w:pPr>
      <w:ind w:left="720"/>
      <w:contextualSpacing/>
    </w:pPr>
  </w:style>
  <w:style w:type="character" w:styleId="Hyperlink">
    <w:name w:val="Hyperlink"/>
    <w:basedOn w:val="DefaultParagraphFont"/>
    <w:uiPriority w:val="99"/>
    <w:unhideWhenUsed/>
    <w:rsid w:val="00EA020B"/>
    <w:rPr>
      <w:color w:val="0563C1" w:themeColor="hyperlink"/>
      <w:u w:val="single"/>
    </w:rPr>
  </w:style>
  <w:style w:type="paragraph" w:styleId="Header">
    <w:name w:val="header"/>
    <w:basedOn w:val="Normal"/>
    <w:link w:val="HeaderChar"/>
    <w:uiPriority w:val="99"/>
    <w:unhideWhenUsed/>
    <w:rsid w:val="002E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D9E"/>
  </w:style>
  <w:style w:type="paragraph" w:styleId="Footer">
    <w:name w:val="footer"/>
    <w:basedOn w:val="Normal"/>
    <w:link w:val="FooterChar"/>
    <w:uiPriority w:val="99"/>
    <w:unhideWhenUsed/>
    <w:rsid w:val="002E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D9E"/>
  </w:style>
  <w:style w:type="paragraph" w:styleId="FootnoteText">
    <w:name w:val="footnote text"/>
    <w:basedOn w:val="Normal"/>
    <w:link w:val="FootnoteTextChar"/>
    <w:uiPriority w:val="99"/>
    <w:semiHidden/>
    <w:unhideWhenUsed/>
    <w:rsid w:val="005240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0F2"/>
    <w:rPr>
      <w:sz w:val="20"/>
      <w:szCs w:val="20"/>
    </w:rPr>
  </w:style>
  <w:style w:type="character" w:styleId="FootnoteReference">
    <w:name w:val="footnote reference"/>
    <w:basedOn w:val="DefaultParagraphFont"/>
    <w:uiPriority w:val="99"/>
    <w:semiHidden/>
    <w:unhideWhenUsed/>
    <w:rsid w:val="005240F2"/>
    <w:rPr>
      <w:vertAlign w:val="superscript"/>
    </w:rPr>
  </w:style>
  <w:style w:type="paragraph" w:styleId="BalloonText">
    <w:name w:val="Balloon Text"/>
    <w:basedOn w:val="Normal"/>
    <w:link w:val="BalloonTextChar"/>
    <w:uiPriority w:val="99"/>
    <w:semiHidden/>
    <w:unhideWhenUsed/>
    <w:rsid w:val="00454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hrisfinlayson.co.nz/section-7-of-the-bill-of-rights/" TargetMode="External"/><Relationship Id="rId2" Type="http://schemas.openxmlformats.org/officeDocument/2006/relationships/hyperlink" Target="http://www.justice.gc.ca/eng/rp-pr/other-autre/addend/index.html" TargetMode="External"/><Relationship Id="rId1" Type="http://schemas.openxmlformats.org/officeDocument/2006/relationships/hyperlink" Target="http://www.justice.gc.ca/eng/rp-pr/other-autre/adra-amsr/" TargetMode="External"/><Relationship Id="rId4" Type="http://schemas.openxmlformats.org/officeDocument/2006/relationships/hyperlink" Target="https://www.justice.govt.nz/justice-sector-policy/constitutional-issues-and-human-rights/bill-of-rights-compliance-report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7754-94BE-4FF9-A721-2407B70D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16274</Characters>
  <Application>Microsoft Office Word</Application>
  <DocSecurity>0</DocSecurity>
  <Lines>135</Lines>
  <Paragraphs>38</Paragraphs>
  <ScaleCrop>false</ScaleCrop>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2016-10-14T15:03:00Z</dcterms:created>
  <dcterms:modified xsi:type="dcterms:W3CDTF">2016-10-14T15:03:00Z</dcterms:modified>
</cp:coreProperties>
</file>